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Постановление Кабинета Министров ЧР от 19.05.2025 N 284</w:t>
              <w:br/>
              <w:t xml:space="preserve">(ред. от 10.06.2026)</w:t>
              <w:br/>
              <w:t xml:space="preserve">"Об утверждении Правил предоставления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и Положения о Комиссии по проведению отбора на предоставление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КАБИНЕТ МИНИСТРОВ ЧУВАШСКОЙ РЕСПУБЛИКИ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19 мая 2025 г. N 284</w:t>
      </w:r>
    </w:p>
    <w:p>
      <w:pPr>
        <w:pStyle w:val="2"/>
        <w:jc w:val="both"/>
      </w:pPr>
      <w:r>
        <w:rPr>
          <w:sz w:val="24"/>
        </w:rPr>
      </w:r>
    </w:p>
    <w:p>
      <w:pPr>
        <w:pStyle w:val="2"/>
        <w:jc w:val="center"/>
      </w:pPr>
      <w:r>
        <w:rPr>
          <w:sz w:val="24"/>
        </w:rPr>
        <w:t xml:space="preserve">ОБ УТВЕРЖДЕНИИ ПРАВИЛ ПРЕДОСТАВЛЕНИЯ СУБСИДИЙ</w:t>
      </w:r>
    </w:p>
    <w:p>
      <w:pPr>
        <w:pStyle w:val="2"/>
        <w:jc w:val="center"/>
      </w:pPr>
      <w:r>
        <w:rPr>
          <w:sz w:val="24"/>
        </w:rPr>
        <w:t xml:space="preserve">ИЗ РЕСПУБЛИКАНСКОГО БЮДЖЕТА ЧУВАШСКОЙ РЕСПУБЛИКИ</w:t>
      </w:r>
    </w:p>
    <w:p>
      <w:pPr>
        <w:pStyle w:val="2"/>
        <w:jc w:val="center"/>
      </w:pPr>
      <w:r>
        <w:rPr>
          <w:sz w:val="24"/>
        </w:rPr>
        <w:t xml:space="preserve">ЮРИДИЧЕСКИМ ЛИЦАМ И ИНДИВИДУАЛЬНЫМ ПРЕДПРИНИМАТЕЛЯМ</w:t>
      </w:r>
    </w:p>
    <w:p>
      <w:pPr>
        <w:pStyle w:val="2"/>
        <w:jc w:val="center"/>
      </w:pPr>
      <w:r>
        <w:rPr>
          <w:sz w:val="24"/>
        </w:rPr>
        <w:t xml:space="preserve">НА ВОЗМЕЩЕНИЕ ЧАСТИ ЗАТРАТ ПО ПРИОБРЕТЕНИЮ НОВОГО</w:t>
      </w:r>
    </w:p>
    <w:p>
      <w:pPr>
        <w:pStyle w:val="2"/>
        <w:jc w:val="center"/>
      </w:pPr>
      <w:r>
        <w:rPr>
          <w:sz w:val="24"/>
        </w:rPr>
        <w:t xml:space="preserve">ТЕХНОЛОГИЧЕСКОГО ОБОРУДОВАНИЯ В РАМКАХ РЕАЛИЗАЦИИ</w:t>
      </w:r>
    </w:p>
    <w:p>
      <w:pPr>
        <w:pStyle w:val="2"/>
        <w:jc w:val="center"/>
      </w:pPr>
      <w:r>
        <w:rPr>
          <w:sz w:val="24"/>
        </w:rPr>
        <w:t xml:space="preserve">ИНВЕСТИЦИОННЫХ ПРОЕКТОВ В РАМКАХ РЕАЛИЗАЦИИ ИНДИВИДУАЛЬНОЙ</w:t>
      </w:r>
    </w:p>
    <w:p>
      <w:pPr>
        <w:pStyle w:val="2"/>
        <w:jc w:val="center"/>
      </w:pPr>
      <w:r>
        <w:rPr>
          <w:sz w:val="24"/>
        </w:rPr>
        <w:t xml:space="preserve">ПРОГРАММЫ СОЦИАЛЬНО-ЭКОНОМИЧЕСКОГО РАЗВИТИЯ</w:t>
      </w:r>
    </w:p>
    <w:p>
      <w:pPr>
        <w:pStyle w:val="2"/>
        <w:jc w:val="center"/>
      </w:pPr>
      <w:r>
        <w:rPr>
          <w:sz w:val="24"/>
        </w:rPr>
        <w:t xml:space="preserve">ЧУВАШСКОЙ РЕСПУБЛИКИ И ПОЛОЖЕНИЯ О КОМИССИИ ПО ПРОВЕДЕНИЮ</w:t>
      </w:r>
    </w:p>
    <w:p>
      <w:pPr>
        <w:pStyle w:val="2"/>
        <w:jc w:val="center"/>
      </w:pPr>
      <w:r>
        <w:rPr>
          <w:sz w:val="24"/>
        </w:rPr>
        <w:t xml:space="preserve">ОТБОРА НА ПРЕДОСТАВЛЕНИЕ СУБСИДИЙ ИЗ РЕСПУБЛИКАНСКОГО</w:t>
      </w:r>
    </w:p>
    <w:p>
      <w:pPr>
        <w:pStyle w:val="2"/>
        <w:jc w:val="center"/>
      </w:pPr>
      <w:r>
        <w:rPr>
          <w:sz w:val="24"/>
        </w:rPr>
        <w:t xml:space="preserve">БЮДЖЕТА ЧУВАШСКОЙ РЕСПУБЛИКИ ЮРИДИЧЕСКИМ ЛИЦАМ</w:t>
      </w:r>
    </w:p>
    <w:p>
      <w:pPr>
        <w:pStyle w:val="2"/>
        <w:jc w:val="center"/>
      </w:pPr>
      <w:r>
        <w:rPr>
          <w:sz w:val="24"/>
        </w:rPr>
        <w:t xml:space="preserve">И ИНДИВИДУАЛЬНЫМ ПРЕДПРИНИМАТЕЛЯМ НА ВОЗМЕЩЕНИЕ ЧАСТИ</w:t>
      </w:r>
    </w:p>
    <w:p>
      <w:pPr>
        <w:pStyle w:val="2"/>
        <w:jc w:val="center"/>
      </w:pPr>
      <w:r>
        <w:rPr>
          <w:sz w:val="24"/>
        </w:rPr>
        <w:t xml:space="preserve">ЗАТРАТ ПО ПРИОБРЕТЕНИЮ НОВОГО ТЕХНОЛОГИЧЕСКОГО ОБОРУДОВАНИЯ</w:t>
      </w:r>
    </w:p>
    <w:p>
      <w:pPr>
        <w:pStyle w:val="2"/>
        <w:jc w:val="center"/>
      </w:pPr>
      <w:r>
        <w:rPr>
          <w:sz w:val="24"/>
        </w:rPr>
        <w:t xml:space="preserve">В РАМКАХ РЕАЛИЗАЦИИ ИНВЕСТИЦИОННЫХ ПРОЕКТОВ В РАМКАХ</w:t>
      </w:r>
    </w:p>
    <w:p>
      <w:pPr>
        <w:pStyle w:val="2"/>
        <w:jc w:val="center"/>
      </w:pPr>
      <w:r>
        <w:rPr>
          <w:sz w:val="24"/>
        </w:rPr>
        <w:t xml:space="preserve">РЕАЛИЗАЦИИ ИНДИВИДУАЛЬНОЙ ПРОГРАММЫ СОЦИАЛЬНО-ЭКОНОМИЧЕСКОГО</w:t>
      </w:r>
    </w:p>
    <w:p>
      <w:pPr>
        <w:pStyle w:val="2"/>
        <w:jc w:val="center"/>
      </w:pPr>
      <w:r>
        <w:rPr>
          <w:sz w:val="24"/>
        </w:rPr>
        <w:t xml:space="preserve">РАЗВИТИЯ ЧУВАШСКОЙ РЕСПУБЛИКИ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color w:val="392c69"/>
              </w:rPr>
              <w:t xml:space="preserve"> Кабинета Министров ЧР от 10.06.2026 N 379)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9"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индивидуальной программой социально-экономического развития Чувашской Республики на 2025 - 2030 годы, утвержденной распоряжением Правительства Российской Федерации от 9 декабря 2024 г. N 3639-р, Кабинет Министров Чувашской Республики постановляет:</w:t>
      </w:r>
    </w:p>
    <w:p>
      <w:pPr>
        <w:pStyle w:val="0"/>
        <w:spacing w:before="240" w:lineRule="auto"/>
        <w:ind w:firstLine="540"/>
        <w:jc w:val="both"/>
      </w:pPr>
      <w:r>
        <w:rPr>
          <w:sz w:val="24"/>
        </w:rPr>
        <w:t xml:space="preserve">1. Утвердить:</w:t>
      </w:r>
    </w:p>
    <w:p>
      <w:pPr>
        <w:pStyle w:val="0"/>
        <w:spacing w:before="240" w:lineRule="auto"/>
        <w:ind w:firstLine="540"/>
        <w:jc w:val="both"/>
      </w:pPr>
      <w:hyperlink w:history="0" w:anchor="P45" w:tooltip="ПРАВИЛА">
        <w:r>
          <w:rPr>
            <w:sz w:val="24"/>
            <w:color w:val="0000ff"/>
          </w:rPr>
          <w:t xml:space="preserve">Правила</w:t>
        </w:r>
      </w:hyperlink>
      <w:r>
        <w:rPr>
          <w:sz w:val="24"/>
        </w:rPr>
        <w:t xml:space="preserve"> предоставления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согласно приложению N 1 к настоящему постановлению;</w:t>
      </w:r>
    </w:p>
    <w:p>
      <w:pPr>
        <w:pStyle w:val="0"/>
        <w:spacing w:before="240" w:lineRule="auto"/>
        <w:ind w:firstLine="540"/>
        <w:jc w:val="both"/>
      </w:pPr>
      <w:hyperlink w:history="0" w:anchor="P1321" w:tooltip="ПОЛОЖЕНИЕ">
        <w:r>
          <w:rPr>
            <w:sz w:val="24"/>
            <w:color w:val="0000ff"/>
          </w:rPr>
          <w:t xml:space="preserve">Положение</w:t>
        </w:r>
      </w:hyperlink>
      <w:r>
        <w:rPr>
          <w:sz w:val="24"/>
        </w:rPr>
        <w:t xml:space="preserve"> о Комиссии по проведению отбора на предоставление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согласно приложению N 2 к настоящему постановлению.</w:t>
      </w:r>
    </w:p>
    <w:p>
      <w:pPr>
        <w:pStyle w:val="0"/>
        <w:spacing w:before="240" w:lineRule="auto"/>
        <w:ind w:firstLine="540"/>
        <w:jc w:val="both"/>
      </w:pPr>
      <w:r>
        <w:rPr>
          <w:sz w:val="24"/>
        </w:rPr>
        <w:t xml:space="preserve">2. Настоящее постановление вступает в силу со дня его официального опубликования.</w:t>
      </w:r>
    </w:p>
    <w:p>
      <w:pPr>
        <w:pStyle w:val="0"/>
        <w:jc w:val="both"/>
      </w:pPr>
      <w:r>
        <w:rPr>
          <w:sz w:val="24"/>
        </w:rPr>
      </w:r>
    </w:p>
    <w:p>
      <w:pPr>
        <w:pStyle w:val="0"/>
        <w:jc w:val="right"/>
      </w:pPr>
      <w:r>
        <w:rPr>
          <w:sz w:val="24"/>
        </w:rPr>
        <w:t xml:space="preserve">Председатель Кабинета Министров</w:t>
      </w:r>
    </w:p>
    <w:p>
      <w:pPr>
        <w:pStyle w:val="0"/>
        <w:jc w:val="right"/>
      </w:pPr>
      <w:r>
        <w:rPr>
          <w:sz w:val="24"/>
        </w:rPr>
        <w:t xml:space="preserve">Чувашской Республики</w:t>
      </w:r>
    </w:p>
    <w:p>
      <w:pPr>
        <w:pStyle w:val="0"/>
        <w:jc w:val="right"/>
      </w:pPr>
      <w:r>
        <w:rPr>
          <w:sz w:val="24"/>
        </w:rPr>
        <w:t xml:space="preserve">С.АРТАМОНОВ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19.05.2025 N 284</w:t>
      </w:r>
    </w:p>
    <w:p>
      <w:pPr>
        <w:pStyle w:val="0"/>
        <w:jc w:val="right"/>
      </w:pPr>
      <w:r>
        <w:rPr>
          <w:sz w:val="24"/>
        </w:rPr>
        <w:t xml:space="preserve">(приложение N 1)</w:t>
      </w:r>
    </w:p>
    <w:p>
      <w:pPr>
        <w:pStyle w:val="0"/>
        <w:jc w:val="both"/>
      </w:pPr>
      <w:r>
        <w:rPr>
          <w:sz w:val="24"/>
        </w:rPr>
      </w:r>
    </w:p>
    <w:bookmarkStart w:id="45" w:name="P45"/>
    <w:bookmarkEnd w:id="45"/>
    <w:p>
      <w:pPr>
        <w:pStyle w:val="2"/>
        <w:jc w:val="center"/>
      </w:pPr>
      <w:r>
        <w:rPr>
          <w:sz w:val="24"/>
        </w:rPr>
        <w:t xml:space="preserve">ПРАВИЛА</w:t>
      </w:r>
    </w:p>
    <w:p>
      <w:pPr>
        <w:pStyle w:val="2"/>
        <w:jc w:val="center"/>
      </w:pPr>
      <w:r>
        <w:rPr>
          <w:sz w:val="24"/>
        </w:rPr>
        <w:t xml:space="preserve">ПРЕДОСТАВЛЕНИЯ СУБСИДИЙ ИЗ РЕСПУБЛИКАНСКОГО БЮДЖЕТА</w:t>
      </w:r>
    </w:p>
    <w:p>
      <w:pPr>
        <w:pStyle w:val="2"/>
        <w:jc w:val="center"/>
      </w:pPr>
      <w:r>
        <w:rPr>
          <w:sz w:val="24"/>
        </w:rPr>
        <w:t xml:space="preserve">ЧУВАШСКОЙ РЕСПУБЛИКИ ЮРИДИЧЕСКИМ ЛИЦАМ И ИНДИВИДУАЛЬНЫМ</w:t>
      </w:r>
    </w:p>
    <w:p>
      <w:pPr>
        <w:pStyle w:val="2"/>
        <w:jc w:val="center"/>
      </w:pPr>
      <w:r>
        <w:rPr>
          <w:sz w:val="24"/>
        </w:rPr>
        <w:t xml:space="preserve">ПРЕДПРИНИМАТЕЛЯМ НА ВОЗМЕЩЕНИЕ ЧАСТИ ЗАТРАТ ПО ПРИОБРЕТЕНИЮ</w:t>
      </w:r>
    </w:p>
    <w:p>
      <w:pPr>
        <w:pStyle w:val="2"/>
        <w:jc w:val="center"/>
      </w:pPr>
      <w:r>
        <w:rPr>
          <w:sz w:val="24"/>
        </w:rPr>
        <w:t xml:space="preserve">НОВОГО ТЕХНОЛОГИЧЕСКОГО ОБОРУДОВАНИЯ В РАМКАХ РЕАЛИЗАЦИИ</w:t>
      </w:r>
    </w:p>
    <w:p>
      <w:pPr>
        <w:pStyle w:val="2"/>
        <w:jc w:val="center"/>
      </w:pPr>
      <w:r>
        <w:rPr>
          <w:sz w:val="24"/>
        </w:rPr>
        <w:t xml:space="preserve">ИНВЕСТИЦИОННЫХ ПРОЕКТОВ В РАМКАХ РЕАЛИЗАЦИИ ИНДИВИДУАЛЬНОЙ</w:t>
      </w:r>
    </w:p>
    <w:p>
      <w:pPr>
        <w:pStyle w:val="2"/>
        <w:jc w:val="center"/>
      </w:pPr>
      <w:r>
        <w:rPr>
          <w:sz w:val="24"/>
        </w:rPr>
        <w:t xml:space="preserve">ПРОГРАММЫ СОЦИАЛЬНО-ЭКОНОМИЧЕСКОГО РАЗВИТИЯ</w:t>
      </w:r>
    </w:p>
    <w:p>
      <w:pPr>
        <w:pStyle w:val="2"/>
        <w:jc w:val="center"/>
      </w:pPr>
      <w:r>
        <w:rPr>
          <w:sz w:val="24"/>
        </w:rPr>
        <w:t xml:space="preserve">ЧУВАШСКОЙ РЕСПУБЛИКИ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color w:val="392c69"/>
              </w:rPr>
              <w:t xml:space="preserve"> Кабинета Министров ЧР от 10.06.2026 N 379)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bookmarkStart w:id="58" w:name="P58"/>
    <w:bookmarkEnd w:id="58"/>
    <w:p>
      <w:pPr>
        <w:pStyle w:val="0"/>
        <w:ind w:firstLine="540"/>
        <w:jc w:val="both"/>
      </w:pPr>
      <w:r>
        <w:rPr>
          <w:sz w:val="24"/>
        </w:rPr>
        <w:t xml:space="preserve">1.1. Настоящие Правила устанавливают условия и порядок предоставления субсидий из республиканского бюджета Чувашской Республики, в том числе за счет средств, поступивших в республиканский бюджет Чувашской Республики из федерального бюджета, в целях возмещения части затрат юридических лиц и индивидуальных предпринимателей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(далее также - субсидия).</w:t>
      </w:r>
    </w:p>
    <w:p>
      <w:pPr>
        <w:pStyle w:val="0"/>
        <w:spacing w:before="240" w:lineRule="auto"/>
        <w:ind w:firstLine="540"/>
        <w:jc w:val="both"/>
      </w:pPr>
      <w:r>
        <w:rPr>
          <w:sz w:val="24"/>
        </w:rPr>
        <w:t xml:space="preserve">1.2. В настоящих Правилах используются следующие основные понятия:</w:t>
      </w:r>
    </w:p>
    <w:p>
      <w:pPr>
        <w:pStyle w:val="0"/>
        <w:spacing w:before="240" w:lineRule="auto"/>
        <w:ind w:firstLine="540"/>
        <w:jc w:val="both"/>
      </w:pPr>
      <w:r>
        <w:rPr>
          <w:sz w:val="24"/>
        </w:rPr>
        <w:t xml:space="preserve">"новое технологическое оборудование" - российская и импортная промышленная продукция, отнесенная к разделу "Продукция обрабатывающих производств" в соответствии с Общероссийским классификатором продукции по видам экономической деятельности, к </w:t>
      </w:r>
      <w:hyperlink w:history="0" r:id="rId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классам 26</w:t>
        </w:r>
      </w:hyperlink>
      <w:r>
        <w:rPr>
          <w:sz w:val="24"/>
        </w:rPr>
        <w:t xml:space="preserve">, </w:t>
      </w:r>
      <w:hyperlink w:history="0" r:id="rId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27</w:t>
        </w:r>
      </w:hyperlink>
      <w:r>
        <w:rPr>
          <w:sz w:val="24"/>
        </w:rPr>
        <w:t xml:space="preserve"> и </w:t>
      </w:r>
      <w:hyperlink w:history="0" r:id="rId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28</w:t>
        </w:r>
      </w:hyperlink>
      <w:r>
        <w:rPr>
          <w:sz w:val="24"/>
        </w:rPr>
        <w:t xml:space="preserve"> (за исключением подкласса 28.3) сферы деятельности "Обрабатывающая промышленность";</w:t>
      </w:r>
    </w:p>
    <w:p>
      <w:pPr>
        <w:pStyle w:val="0"/>
        <w:spacing w:before="240" w:lineRule="auto"/>
        <w:ind w:firstLine="540"/>
        <w:jc w:val="both"/>
      </w:pPr>
      <w:r>
        <w:rPr>
          <w:sz w:val="24"/>
        </w:rPr>
        <w:t xml:space="preserve">"субъекты в сфере промышленности" - юридические лица и индивидуальные предприниматели в сфере промышленности;</w:t>
      </w:r>
    </w:p>
    <w:p>
      <w:pPr>
        <w:pStyle w:val="0"/>
        <w:spacing w:before="240" w:lineRule="auto"/>
        <w:ind w:firstLine="540"/>
        <w:jc w:val="both"/>
      </w:pPr>
      <w:r>
        <w:rPr>
          <w:sz w:val="24"/>
        </w:rPr>
        <w:t xml:space="preserve">"новое рабочее место" - замещенное рабочее место работников списочного состава, внешних совместителей и работников, выполнявших работы по договорам гражданско-правового характера, заключенным между получателем субсидии и работником;</w:t>
      </w:r>
    </w:p>
    <w:p>
      <w:pPr>
        <w:pStyle w:val="0"/>
        <w:jc w:val="both"/>
      </w:pPr>
      <w:r>
        <w:rPr>
          <w:sz w:val="24"/>
        </w:rPr>
        <w:t xml:space="preserve">(абзац введен </w:t>
      </w:r>
      <w:hyperlink w:history="0" r:id="rId14"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Постановлением</w:t>
        </w:r>
      </w:hyperlink>
      <w:r>
        <w:rPr>
          <w:sz w:val="24"/>
        </w:rPr>
        <w:t xml:space="preserve"> Кабинета Министров ЧР от 10.06.2026 N 379)</w:t>
      </w:r>
    </w:p>
    <w:p>
      <w:pPr>
        <w:pStyle w:val="0"/>
        <w:spacing w:before="240" w:lineRule="auto"/>
        <w:ind w:firstLine="540"/>
        <w:jc w:val="both"/>
      </w:pPr>
      <w:r>
        <w:rPr>
          <w:sz w:val="24"/>
        </w:rPr>
        <w:t xml:space="preserve">абзац утратил силу. - </w:t>
      </w:r>
      <w:hyperlink w:history="0" r:id="rId15"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Постановление</w:t>
        </w:r>
      </w:hyperlink>
      <w:r>
        <w:rPr>
          <w:sz w:val="24"/>
        </w:rPr>
        <w:t xml:space="preserve"> Кабинета Министров ЧР от 10.06.2026 N 379;</w:t>
      </w:r>
    </w:p>
    <w:p>
      <w:pPr>
        <w:pStyle w:val="0"/>
        <w:spacing w:before="240" w:lineRule="auto"/>
        <w:ind w:firstLine="540"/>
        <w:jc w:val="both"/>
      </w:pPr>
      <w:r>
        <w:rPr>
          <w:sz w:val="24"/>
        </w:rPr>
        <w:t xml:space="preserve">"конкурсный отбор" - отбор юридических лиц и индивидуальных предпринимателей в сфере промышленности на предоставление субсидий из республиканского бюджета Чувашской Республики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проводимый Комиссией по проведению отбора на предоставление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состав которой утверждается распоряжением Кабинета Министров Чувашской Республики (далее - Комиссия);</w:t>
      </w:r>
    </w:p>
    <w:p>
      <w:pPr>
        <w:pStyle w:val="0"/>
        <w:spacing w:before="240" w:lineRule="auto"/>
        <w:ind w:firstLine="540"/>
        <w:jc w:val="both"/>
      </w:pPr>
      <w:r>
        <w:rPr>
          <w:sz w:val="24"/>
        </w:rPr>
        <w:t xml:space="preserve">"претендент" - юридическое лицо или индивидуальный предприниматель в сфере промышленности, заключившие договор (договоры) поставки и (или) купли-продажи нового технологического оборудования, подавшие в установленном порядке заявку на участие в конкурсном отборе;</w:t>
      </w:r>
    </w:p>
    <w:p>
      <w:pPr>
        <w:pStyle w:val="0"/>
        <w:spacing w:before="240" w:lineRule="auto"/>
        <w:ind w:firstLine="540"/>
        <w:jc w:val="both"/>
      </w:pPr>
      <w:r>
        <w:rPr>
          <w:sz w:val="24"/>
        </w:rPr>
        <w:t xml:space="preserve">"заявка на участие в конкурсном отборе" - сформированная претендентом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 заявка и прилагаемые к ней документы, предусмотренные настоящими Правилами (далее также - заявка);</w:t>
      </w:r>
    </w:p>
    <w:p>
      <w:pPr>
        <w:pStyle w:val="0"/>
        <w:spacing w:before="240" w:lineRule="auto"/>
        <w:ind w:firstLine="540"/>
        <w:jc w:val="both"/>
      </w:pPr>
      <w:r>
        <w:rPr>
          <w:sz w:val="24"/>
        </w:rPr>
        <w:t xml:space="preserve">"получатель субсидии" - юридическое лицо или индивидуальный предприниматель в сфере промышленности, в отношении которых Комиссией принято решение о предоставлении субсидии;</w:t>
      </w:r>
    </w:p>
    <w:p>
      <w:pPr>
        <w:pStyle w:val="0"/>
        <w:spacing w:before="240" w:lineRule="auto"/>
        <w:ind w:firstLine="540"/>
        <w:jc w:val="both"/>
      </w:pPr>
      <w:r>
        <w:rPr>
          <w:sz w:val="24"/>
        </w:rPr>
        <w:t xml:space="preserve">"возмещаемые юридическим лицам и индивидуальным предпринимателям в сфере промышленности затраты по приобретению нового технологического оборудования" - выраженные в денежной форме, фактически понесенные и документально подтвержденные расходы юридических лиц и индивидуальных предпринимателей в сфере промышленности, равные фактической стоимости нового технологического оборудования в соответствии с договором (договорами) поставки и (или) купли-продажи нового технологического оборудования (без учета налога на добавленную стоимость, а также затрат, связанных с монтажом, перевозкой и вводом в эксплуатацию приобретенного нового технологического оборудования);</w:t>
      </w:r>
    </w:p>
    <w:p>
      <w:pPr>
        <w:pStyle w:val="0"/>
        <w:spacing w:before="240" w:lineRule="auto"/>
        <w:ind w:firstLine="540"/>
        <w:jc w:val="both"/>
      </w:pPr>
      <w:r>
        <w:rPr>
          <w:sz w:val="24"/>
        </w:rPr>
        <w:t xml:space="preserve">"инвестиционный проект" - ограниченный по времени и затрачиваемым ресурсам комплекс мероприятий, предусматривающих создание и последующую эксплуатацию нового имущественного комплекса и (или) нематериальных активов либо модернизацию (реконструкцию, техническое перевооружение) существующего имущественного комплекса в целях создания нового производства товаров (работ, услуг), увеличения объемов существующего производства товаров (работ, услуг);</w:t>
      </w:r>
    </w:p>
    <w:p>
      <w:pPr>
        <w:pStyle w:val="0"/>
        <w:spacing w:before="240" w:lineRule="auto"/>
        <w:ind w:firstLine="540"/>
        <w:jc w:val="both"/>
      </w:pPr>
      <w:r>
        <w:rPr>
          <w:sz w:val="24"/>
        </w:rPr>
        <w:t xml:space="preserve">"сфера промышленности" - совокупность следующих видов экономической деятельности промышленных предприятий, относящихся к разделу "Обрабатывающие производства", соответствующих Общероссийскому классификатору видов экономической деятельности (ОКВЭД): </w:t>
      </w:r>
      <w:hyperlink w:history="0" r:id="rId1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10.51</w:t>
        </w:r>
      </w:hyperlink>
      <w:r>
        <w:rPr>
          <w:sz w:val="24"/>
        </w:rPr>
        <w:t xml:space="preserve"> производство побочных продуктов переработки молока (казеина, сахара молочного, молочной сыворотки и т.п.); </w:t>
      </w:r>
      <w:hyperlink w:history="0" r:id="rId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10.61</w:t>
        </w:r>
      </w:hyperlink>
      <w:r>
        <w:rPr>
          <w:sz w:val="24"/>
        </w:rPr>
        <w:t xml:space="preserve">; </w:t>
      </w:r>
      <w:hyperlink w:history="0" r:id="rId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10.71</w:t>
        </w:r>
      </w:hyperlink>
      <w:r>
        <w:rPr>
          <w:sz w:val="24"/>
        </w:rPr>
        <w:t xml:space="preserve">; </w:t>
      </w:r>
      <w:hyperlink w:history="0" r:id="rId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10.72</w:t>
        </w:r>
      </w:hyperlink>
      <w:r>
        <w:rPr>
          <w:sz w:val="24"/>
        </w:rPr>
        <w:t xml:space="preserve">; </w:t>
      </w:r>
      <w:hyperlink w:history="0" r:id="rId2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10.73</w:t>
        </w:r>
      </w:hyperlink>
      <w:r>
        <w:rPr>
          <w:sz w:val="24"/>
        </w:rPr>
        <w:t xml:space="preserve">; </w:t>
      </w:r>
      <w:hyperlink w:history="0" r:id="rId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10.86.5</w:t>
        </w:r>
      </w:hyperlink>
      <w:r>
        <w:rPr>
          <w:sz w:val="24"/>
        </w:rPr>
        <w:t xml:space="preserve">; </w:t>
      </w:r>
      <w:hyperlink w:history="0" r:id="rId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10.86.64</w:t>
        </w:r>
      </w:hyperlink>
      <w:r>
        <w:rPr>
          <w:sz w:val="24"/>
        </w:rPr>
        <w:t xml:space="preserve">; </w:t>
      </w:r>
      <w:hyperlink w:history="0" r:id="rId2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10.89.4</w:t>
        </w:r>
      </w:hyperlink>
      <w:r>
        <w:rPr>
          <w:sz w:val="24"/>
        </w:rPr>
        <w:t xml:space="preserve">; </w:t>
      </w:r>
      <w:hyperlink w:history="0" r:id="rId2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10.89.8</w:t>
        </w:r>
      </w:hyperlink>
      <w:r>
        <w:rPr>
          <w:sz w:val="24"/>
        </w:rPr>
        <w:t xml:space="preserve">; </w:t>
      </w:r>
      <w:hyperlink w:history="0" r:id="rId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10.91.3</w:t>
        </w:r>
      </w:hyperlink>
      <w:r>
        <w:rPr>
          <w:sz w:val="24"/>
        </w:rPr>
        <w:t xml:space="preserve">; </w:t>
      </w:r>
      <w:hyperlink w:history="0" r:id="rId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13</w:t>
        </w:r>
      </w:hyperlink>
      <w:r>
        <w:rPr>
          <w:sz w:val="24"/>
        </w:rPr>
        <w:t xml:space="preserve"> - </w:t>
      </w:r>
      <w:hyperlink w:history="0" r:id="rId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17</w:t>
        </w:r>
      </w:hyperlink>
      <w:r>
        <w:rPr>
          <w:sz w:val="24"/>
        </w:rPr>
        <w:t xml:space="preserve">; </w:t>
      </w:r>
      <w:hyperlink w:history="0" r:id="rId2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20</w:t>
        </w:r>
      </w:hyperlink>
      <w:r>
        <w:rPr>
          <w:sz w:val="24"/>
        </w:rPr>
        <w:t xml:space="preserve"> (за исключением подгрупп </w:t>
      </w:r>
      <w:hyperlink w:history="0" r:id="rId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20.14.1</w:t>
        </w:r>
      </w:hyperlink>
      <w:r>
        <w:rPr>
          <w:sz w:val="24"/>
        </w:rPr>
        <w:t xml:space="preserve">; </w:t>
      </w:r>
      <w:hyperlink w:history="0" r:id="rId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20.15.8</w:t>
        </w:r>
      </w:hyperlink>
      <w:r>
        <w:rPr>
          <w:sz w:val="24"/>
        </w:rPr>
        <w:t xml:space="preserve">; </w:t>
      </w:r>
      <w:hyperlink w:history="0" r:id="rId3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20.59.2</w:t>
        </w:r>
      </w:hyperlink>
      <w:r>
        <w:rPr>
          <w:sz w:val="24"/>
        </w:rPr>
        <w:t xml:space="preserve">; </w:t>
      </w:r>
      <w:hyperlink w:history="0" r:id="rId3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20.59.6</w:t>
        </w:r>
      </w:hyperlink>
      <w:r>
        <w:rPr>
          <w:sz w:val="24"/>
        </w:rPr>
        <w:t xml:space="preserve">), в том числе </w:t>
      </w:r>
      <w:hyperlink w:history="0" r:id="rId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20.53</w:t>
        </w:r>
      </w:hyperlink>
      <w:r>
        <w:rPr>
          <w:sz w:val="24"/>
        </w:rPr>
        <w:t xml:space="preserve"> (за исключением используемых для производства продуктов питания); </w:t>
      </w:r>
      <w:hyperlink w:history="0" r:id="rId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21</w:t>
        </w:r>
      </w:hyperlink>
      <w:r>
        <w:rPr>
          <w:sz w:val="24"/>
        </w:rPr>
        <w:t xml:space="preserve"> - </w:t>
      </w:r>
      <w:hyperlink w:history="0" r:id="rId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33</w:t>
        </w:r>
      </w:hyperlink>
      <w:r>
        <w:rPr>
          <w:sz w:val="24"/>
        </w:rPr>
        <w:t xml:space="preserve"> (за исключением группы </w:t>
      </w:r>
      <w:hyperlink w:history="0" r:id="rId3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24.46</w:t>
        </w:r>
      </w:hyperlink>
      <w:r>
        <w:rPr>
          <w:sz w:val="24"/>
        </w:rPr>
        <w:t xml:space="preserve">);</w:t>
      </w:r>
    </w:p>
    <w:p>
      <w:pPr>
        <w:pStyle w:val="0"/>
        <w:spacing w:before="240" w:lineRule="auto"/>
        <w:ind w:firstLine="540"/>
        <w:jc w:val="both"/>
      </w:pPr>
      <w:r>
        <w:rPr>
          <w:sz w:val="24"/>
        </w:rPr>
        <w:t xml:space="preserve">"рейтинг" - порядковый номер, полученный в результате ранжирования показателей критериев оценки заявки претендента.</w:t>
      </w:r>
    </w:p>
    <w:p>
      <w:pPr>
        <w:pStyle w:val="0"/>
        <w:spacing w:before="240" w:lineRule="auto"/>
        <w:ind w:firstLine="540"/>
        <w:jc w:val="both"/>
      </w:pPr>
      <w:r>
        <w:rPr>
          <w:sz w:val="24"/>
        </w:rPr>
        <w:t xml:space="preserve">Иные понятия, используемые в настоящих Правилах, применяются в значениях, определенных </w:t>
      </w:r>
      <w:hyperlink w:history="0" r:id="rId37"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постановлением</w:t>
        </w:r>
      </w:hyperlink>
      <w:r>
        <w:rPr>
          <w:sz w:val="24"/>
        </w:rP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 </w:t>
      </w:r>
      <w:hyperlink w:history="0" r:id="rId38" w:tooltip="Постановление Кабинета Министров ЧР от 05.12.2018 N 496 (ред. от 26.05.2026) &quot;О государственной программе Чувашской Республики &quot;Экономическое развитие Чувашской Республики&quot; {КонсультантПлюс}">
        <w:r>
          <w:rPr>
            <w:sz w:val="24"/>
            <w:color w:val="0000ff"/>
          </w:rPr>
          <w:t xml:space="preserve">постановлением</w:t>
        </w:r>
      </w:hyperlink>
      <w:r>
        <w:rPr>
          <w:sz w:val="24"/>
        </w:rPr>
        <w:t xml:space="preserve"> Кабинета Министров Чувашской Республики от 5 декабря 2018 г. N 496 "О государственной программе Чувашской Республики "Экономическое развитие Чувашской Республики".</w:t>
      </w:r>
    </w:p>
    <w:p>
      <w:pPr>
        <w:pStyle w:val="0"/>
        <w:spacing w:before="240" w:lineRule="auto"/>
        <w:ind w:firstLine="540"/>
        <w:jc w:val="both"/>
      </w:pPr>
      <w:r>
        <w:rPr>
          <w:sz w:val="24"/>
        </w:rPr>
        <w:t xml:space="preserve">1.3. Субсидии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предоставляются на возмещение затрат, осуществленных (возникших) не ранее 1 января года, предшествующего году заключения соглашений о предоставлении субсидий из республиканского бюджета Чувашской Республики на возмещение части затрат субъектам в сфере промышленности, в отношении которых Комиссией принято решение о предоставлении субсидии.</w:t>
      </w:r>
    </w:p>
    <w:p>
      <w:pPr>
        <w:pStyle w:val="0"/>
        <w:spacing w:before="240" w:lineRule="auto"/>
        <w:ind w:firstLine="540"/>
        <w:jc w:val="both"/>
      </w:pPr>
      <w:r>
        <w:rPr>
          <w:sz w:val="24"/>
        </w:rPr>
        <w:t xml:space="preserve">1.4. 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осуществляется исходя из суммы расходов на приобретение нового технологического оборудования с учетом налога на добавленную стоимость.</w:t>
      </w:r>
    </w:p>
    <w:p>
      <w:pPr>
        <w:pStyle w:val="0"/>
        <w:jc w:val="both"/>
      </w:pPr>
      <w:r>
        <w:rPr>
          <w:sz w:val="24"/>
        </w:rPr>
      </w:r>
    </w:p>
    <w:p>
      <w:pPr>
        <w:pStyle w:val="2"/>
        <w:outlineLvl w:val="1"/>
        <w:jc w:val="center"/>
      </w:pPr>
      <w:r>
        <w:rPr>
          <w:sz w:val="24"/>
        </w:rPr>
        <w:t xml:space="preserve">II. Условия и порядок предоставления субсидий</w:t>
      </w:r>
    </w:p>
    <w:p>
      <w:pPr>
        <w:pStyle w:val="0"/>
        <w:jc w:val="both"/>
      </w:pPr>
      <w:r>
        <w:rPr>
          <w:sz w:val="24"/>
        </w:rPr>
      </w:r>
    </w:p>
    <w:p>
      <w:pPr>
        <w:pStyle w:val="0"/>
        <w:ind w:firstLine="540"/>
        <w:jc w:val="both"/>
      </w:pPr>
      <w:r>
        <w:rPr>
          <w:sz w:val="24"/>
        </w:rPr>
        <w:t xml:space="preserve">2.1. В соответствии с законом Чувашской Республики о республиканском бюджете Чувашской Республики на текущий финансовый год и плановый период главным распорядителем средств республиканского бюджета Чувашской Республики, направляемых на возмещение части затрат субъектам в сфере промышленности, в отношении которых Комиссией принято решение о предоставлении субсидии, является Министерство промышленности и энергетики Чувашской Республики (далее - Минпромэнерго Чувашии).</w:t>
      </w:r>
    </w:p>
    <w:p>
      <w:pPr>
        <w:pStyle w:val="0"/>
        <w:spacing w:before="240" w:lineRule="auto"/>
        <w:ind w:firstLine="540"/>
        <w:jc w:val="both"/>
      </w:pPr>
      <w:r>
        <w:rPr>
          <w:sz w:val="24"/>
        </w:rPr>
        <w:t xml:space="preserve">Предоставление субсидий на цель, указанную в </w:t>
      </w:r>
      <w:hyperlink w:history="0" w:anchor="P58" w:tooltip="1.1. Настоящие Правила устанавливают условия и порядок предоставления субсидий из республиканского бюджета Чувашской Республики, в том числе за счет средств, поступивших в республиканский бюджет Чувашской Республики из федерального бюджета, в целях возмещения части затрат юридических лиц и индивидуальных предпринимателей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
        <w:r>
          <w:rPr>
            <w:sz w:val="24"/>
            <w:color w:val="0000ff"/>
          </w:rPr>
          <w:t xml:space="preserve">пункте 1.1</w:t>
        </w:r>
      </w:hyperlink>
      <w:r>
        <w:rPr>
          <w:sz w:val="24"/>
        </w:rPr>
        <w:t xml:space="preserve"> настоящих Правил, осуществляется главным распорядителем средств республиканского бюджета Чувашской Республики по разделу 04 "Национальная экономика", подразделу 12 "Другие вопросы в области национальной экономики", в пределах бюджетных ассигнований республиканского бюджета Чувашской Республики, а также средств, поступивших в республиканский бюджет Чувашской Республики из федерального бюджета, предусмотренных законом Чувашской Республики о республиканском бюджете Чувашской Республики на соответствующий финансовый год и плановый период, и лимитов бюджетных обязательств, доведенных в установленном порядке до Минпромэнерго Чувашии на соответствующий финансовый год (далее - лимиты бюджетных обязательств).</w:t>
      </w:r>
    </w:p>
    <w:p>
      <w:pPr>
        <w:pStyle w:val="0"/>
        <w:spacing w:before="240" w:lineRule="auto"/>
        <w:ind w:firstLine="540"/>
        <w:jc w:val="both"/>
      </w:pPr>
      <w:r>
        <w:rPr>
          <w:sz w:val="24"/>
        </w:rPr>
        <w:t xml:space="preserve">Субсидия предоставляется в рамках реализации индивидуальной программы социально-экономического развития Чувашской Республики на 2025 - 2030 годы, утвержденной распоряжением Правительства Российской Федерации от 9 декабря 2024 г. N 3639-р.</w:t>
      </w:r>
    </w:p>
    <w:p>
      <w:pPr>
        <w:pStyle w:val="0"/>
        <w:spacing w:before="240" w:lineRule="auto"/>
        <w:ind w:firstLine="540"/>
        <w:jc w:val="both"/>
      </w:pPr>
      <w:r>
        <w:rPr>
          <w:sz w:val="24"/>
        </w:rPr>
        <w:t xml:space="preserve">Минпромэнерго Чувашии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p>
    <w:p>
      <w:pPr>
        <w:pStyle w:val="0"/>
        <w:spacing w:before="240" w:lineRule="auto"/>
        <w:ind w:firstLine="540"/>
        <w:jc w:val="both"/>
      </w:pPr>
      <w:r>
        <w:rPr>
          <w:sz w:val="24"/>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(далее также соответственно - единый портал, сеть "Интернет") (в разделе единого портала) в порядке, установленном Министерством финансов Российской Федерации (далее - Минфин России), в течение 10 рабочих дней со дня, следующего за днем доведения бюджетных ассигнований на предоставление субсидии до Минпромэнерго Чувашии.</w:t>
      </w:r>
    </w:p>
    <w:p>
      <w:pPr>
        <w:pStyle w:val="0"/>
        <w:jc w:val="both"/>
      </w:pPr>
      <w:r>
        <w:rPr>
          <w:sz w:val="24"/>
        </w:rPr>
        <w:t xml:space="preserve">(в ред. </w:t>
      </w:r>
      <w:hyperlink w:history="0" r:id="rId39"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bookmarkStart w:id="85" w:name="P85"/>
    <w:bookmarkEnd w:id="85"/>
    <w:p>
      <w:pPr>
        <w:pStyle w:val="0"/>
        <w:spacing w:before="240" w:lineRule="auto"/>
        <w:ind w:firstLine="540"/>
        <w:jc w:val="both"/>
      </w:pPr>
      <w:r>
        <w:rPr>
          <w:sz w:val="24"/>
        </w:rPr>
        <w:t xml:space="preserve">2.2. Способом проведения отбора является конкурс.</w:t>
      </w:r>
    </w:p>
    <w:p>
      <w:pPr>
        <w:pStyle w:val="0"/>
        <w:spacing w:before="240" w:lineRule="auto"/>
        <w:ind w:firstLine="540"/>
        <w:jc w:val="both"/>
      </w:pPr>
      <w:r>
        <w:rPr>
          <w:sz w:val="24"/>
        </w:rPr>
        <w:t xml:space="preserve">Получатели субсидий определяются по результатам проведения конкурсного отбора.</w:t>
      </w:r>
    </w:p>
    <w:p>
      <w:pPr>
        <w:pStyle w:val="0"/>
        <w:spacing w:before="240" w:lineRule="auto"/>
        <w:ind w:firstLine="540"/>
        <w:jc w:val="both"/>
      </w:pPr>
      <w:r>
        <w:rPr>
          <w:sz w:val="24"/>
        </w:rPr>
        <w:t xml:space="preserve">К категориям получателей субсидий относятся юридические лица и индивидуальные предприниматели в сфере промышленности, зарегистрированные на территории Чувашской Республики в установленном законодательством Российской Федерации порядке и осуществляющие деятельность на территории Чувашской Республики (для юридических лиц и индивидуальных предпринимателей в сфере промышленности, зарегистрированных за пределами Чувашской Республики, необходимо наличие обязательной регистрации и осуществление деятельности обособленных подразделений на территории Чувашской Республики).</w:t>
      </w:r>
    </w:p>
    <w:p>
      <w:pPr>
        <w:pStyle w:val="0"/>
        <w:spacing w:before="240" w:lineRule="auto"/>
        <w:ind w:firstLine="540"/>
        <w:jc w:val="both"/>
      </w:pPr>
      <w:r>
        <w:rPr>
          <w:sz w:val="24"/>
        </w:rPr>
        <w:t xml:space="preserve">Конкурсный отбор проводится не менее одного раза в год при наличии лимитов бюджетных обязательств.</w:t>
      </w:r>
    </w:p>
    <w:p>
      <w:pPr>
        <w:pStyle w:val="0"/>
        <w:spacing w:before="240" w:lineRule="auto"/>
        <w:ind w:firstLine="540"/>
        <w:jc w:val="both"/>
      </w:pPr>
      <w:r>
        <w:rPr>
          <w:sz w:val="24"/>
        </w:rPr>
        <w:t xml:space="preserve">Конкурсный отбор осуществляется в системе "Электронный бюджет".</w:t>
      </w:r>
    </w:p>
    <w:p>
      <w:pPr>
        <w:pStyle w:val="0"/>
        <w:spacing w:before="240" w:lineRule="auto"/>
        <w:ind w:firstLine="540"/>
        <w:jc w:val="both"/>
      </w:pPr>
      <w:r>
        <w:rPr>
          <w:sz w:val="24"/>
        </w:rPr>
        <w:t xml:space="preserve">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Взаимодействие Минпромэнерго Чувашии и Комиссии с претендентами осуществляется с использованием документов в электронной форме в системе "Электронный бюджет".</w:t>
      </w:r>
    </w:p>
    <w:p>
      <w:pPr>
        <w:pStyle w:val="0"/>
        <w:spacing w:before="240" w:lineRule="auto"/>
        <w:ind w:firstLine="540"/>
        <w:jc w:val="both"/>
      </w:pPr>
      <w:r>
        <w:rPr>
          <w:sz w:val="24"/>
        </w:rPr>
        <w:t xml:space="preserve">Проверка претендента на соответствие требованиям, указанным в </w:t>
      </w:r>
      <w:hyperlink w:history="0" w:anchor="P115"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пункте 2.5</w:t>
        </w:r>
      </w:hyperlink>
      <w:r>
        <w:rPr>
          <w:sz w:val="24"/>
        </w:rPr>
        <w:t xml:space="preserve"> настоящих Правил,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по состоянию на даты рассмотрения заявки и заключения соглашения.</w:t>
      </w:r>
    </w:p>
    <w:p>
      <w:pPr>
        <w:pStyle w:val="0"/>
        <w:spacing w:before="240" w:lineRule="auto"/>
        <w:ind w:firstLine="540"/>
        <w:jc w:val="both"/>
      </w:pPr>
      <w:r>
        <w:rPr>
          <w:sz w:val="24"/>
        </w:rPr>
        <w:t xml:space="preserve">Подтверждение соответствия претендента требованиям, указанным в </w:t>
      </w:r>
      <w:hyperlink w:history="0" w:anchor="P115"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пункте 2.5</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Проверка претендента на соответствие требованиям, указанным в </w:t>
      </w:r>
      <w:hyperlink w:history="0" w:anchor="P118" w:tooltip="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
        <w:r>
          <w:rPr>
            <w:sz w:val="24"/>
            <w:color w:val="0000ff"/>
          </w:rPr>
          <w:t xml:space="preserve">абзацах четвертом</w:t>
        </w:r>
      </w:hyperlink>
      <w:r>
        <w:rPr>
          <w:sz w:val="24"/>
        </w:rPr>
        <w:t xml:space="preserve">, </w:t>
      </w:r>
      <w:hyperlink w:history="0" w:anchor="P122" w:tooltip="у претендента отсутствуют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
        <w:r>
          <w:rPr>
            <w:sz w:val="24"/>
            <w:color w:val="0000ff"/>
          </w:rPr>
          <w:t xml:space="preserve">восьмом</w:t>
        </w:r>
      </w:hyperlink>
      <w:r>
        <w:rPr>
          <w:sz w:val="24"/>
        </w:rPr>
        <w:t xml:space="preserve"> и </w:t>
      </w:r>
      <w:hyperlink w:history="0" w:anchor="P123" w:tooltip="претендент не получает средства из республиканского бюджета Чувашской Республики на основании иных нормативных правовых актов Чувашской Республики на цель, установленную в пункте 1.1 настоящих Правил.">
        <w:r>
          <w:rPr>
            <w:sz w:val="24"/>
            <w:color w:val="0000ff"/>
          </w:rPr>
          <w:t xml:space="preserve">девятом пункта 2.5</w:t>
        </w:r>
      </w:hyperlink>
      <w:r>
        <w:rPr>
          <w:sz w:val="24"/>
        </w:rPr>
        <w:t xml:space="preserve">, </w:t>
      </w:r>
      <w:hyperlink w:history="0" w:anchor="P124"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пункте 2.6</w:t>
        </w:r>
      </w:hyperlink>
      <w:r>
        <w:rPr>
          <w:sz w:val="24"/>
        </w:rPr>
        <w:t xml:space="preserve"> настоящих Правил, в случае отсутствия технической возможности осуществления автоматической проверки в системе "Электронный бюджет" осуществляется на основании сведений, полученных в рамках межведомственного информационного взаимодействия, а также из государственных информационных ресурсов, являющихся официальными источниками соответствующей информации.</w:t>
      </w:r>
    </w:p>
    <w:bookmarkStart w:id="95" w:name="P95"/>
    <w:bookmarkEnd w:id="95"/>
    <w:p>
      <w:pPr>
        <w:pStyle w:val="0"/>
        <w:spacing w:before="240" w:lineRule="auto"/>
        <w:ind w:firstLine="540"/>
        <w:jc w:val="both"/>
      </w:pPr>
      <w:r>
        <w:rPr>
          <w:sz w:val="24"/>
        </w:rPr>
        <w:t xml:space="preserve">2.3. Условиями предоставления субсидии являются:</w:t>
      </w:r>
    </w:p>
    <w:p>
      <w:pPr>
        <w:pStyle w:val="0"/>
        <w:spacing w:before="240" w:lineRule="auto"/>
        <w:ind w:firstLine="540"/>
        <w:jc w:val="both"/>
      </w:pPr>
      <w:r>
        <w:rPr>
          <w:sz w:val="24"/>
        </w:rPr>
        <w:t xml:space="preserve">осуществление деятельности претендента в сфере промышленности не менее одного года до дня окончания приема заявок;</w:t>
      </w:r>
    </w:p>
    <w:p>
      <w:pPr>
        <w:pStyle w:val="0"/>
        <w:spacing w:before="240" w:lineRule="auto"/>
        <w:ind w:firstLine="540"/>
        <w:jc w:val="both"/>
      </w:pPr>
      <w:r>
        <w:rPr>
          <w:sz w:val="24"/>
        </w:rPr>
        <w:t xml:space="preserve">размер среднемесячной заработной платы работников претендента за предыдущий год должен составлять не менее двукратного минимального размера оплаты труда, установленного законодательством Российской Федерации по состоянию на 1 января отчетного финансового года;</w:t>
      </w:r>
    </w:p>
    <w:p>
      <w:pPr>
        <w:pStyle w:val="0"/>
        <w:spacing w:before="240" w:lineRule="auto"/>
        <w:ind w:firstLine="540"/>
        <w:jc w:val="both"/>
      </w:pPr>
      <w:r>
        <w:rPr>
          <w:sz w:val="24"/>
        </w:rPr>
        <w:t xml:space="preserve">претендент реализует на территории Чувашской Республики инвестиционный проект, который включен в Комплексную программу социально-экономического развития Чувашской Республики на 2025 - 2030 годы (далее - КПСЭР), и (или) признан в соответствии с </w:t>
      </w:r>
      <w:hyperlink w:history="0" r:id="rId40" w:tooltip="Постановление Кабинета Министров ЧР от 13.01.2005 N 3 (ред. от 10.06.2026) &quot;О Совете по инвестиционной политике и общественном контроле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quot; (вместе с &quot;Положением...&quot;) {КонсультантПлюс}">
        <w:r>
          <w:rPr>
            <w:sz w:val="24"/>
            <w:color w:val="0000ff"/>
          </w:rPr>
          <w:t xml:space="preserve">постановлением</w:t>
        </w:r>
      </w:hyperlink>
      <w:r>
        <w:rPr>
          <w:sz w:val="24"/>
        </w:rPr>
        <w:t xml:space="preserve"> Кабинета Министров Чувашской Республики от 13 января 2005 г. N 3 "О Совете по инвестиционной политике и общественном контроле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 инвестиционным проектом, имеющим важное экономическое и социальное значение для Чувашской Республики и получающим нефинансовые меры государственной поддержки;</w:t>
      </w:r>
    </w:p>
    <w:p>
      <w:pPr>
        <w:pStyle w:val="0"/>
        <w:spacing w:before="240" w:lineRule="auto"/>
        <w:ind w:firstLine="540"/>
        <w:jc w:val="both"/>
      </w:pPr>
      <w:r>
        <w:rPr>
          <w:sz w:val="24"/>
        </w:rPr>
        <w:t xml:space="preserve">приобретенное новое технологическое оборудование должно быть не бывшим в употреблении, текущего или предшествующего года выпуска (на дату его приобретения) и введено в эксплуатацию не позднее дня представления претендентом заявки в соответствии с </w:t>
      </w:r>
      <w:hyperlink w:history="0" w:anchor="P157"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w:t>
      </w:r>
    </w:p>
    <w:p>
      <w:pPr>
        <w:pStyle w:val="0"/>
        <w:spacing w:before="240" w:lineRule="auto"/>
        <w:ind w:firstLine="540"/>
        <w:jc w:val="both"/>
      </w:pPr>
      <w:r>
        <w:rPr>
          <w:sz w:val="24"/>
        </w:rPr>
        <w:t xml:space="preserve">оборудование, стоимость которого по договору (договорам) поставки и (или) купли-продажи нового технологического оборудования (с учетом комплектации дополнительными элементами), включаемая в расчет размера субсидии, не может составлять менее 2 млн. рублей без учета налога на добавленную стоимость за каждую единицу оборудования, без учета логистики, пусконаладочных работ и таможенных процедур;</w:t>
      </w:r>
    </w:p>
    <w:p>
      <w:pPr>
        <w:pStyle w:val="0"/>
        <w:spacing w:before="240" w:lineRule="auto"/>
        <w:ind w:firstLine="540"/>
        <w:jc w:val="both"/>
      </w:pPr>
      <w:r>
        <w:rPr>
          <w:sz w:val="24"/>
        </w:rPr>
        <w:t xml:space="preserve">фактическое наличие и местонахождение приобретенного нового технологического оборудования у претендента на территории Чувашской Республики, установленное с проведением визуального осмотра оборудования рабочей группой, указанной в </w:t>
      </w:r>
      <w:hyperlink w:history="0" w:anchor="P220" w:tooltip="4.1. Конкурсный отбор проводится в два этапа.">
        <w:r>
          <w:rPr>
            <w:sz w:val="24"/>
            <w:color w:val="0000ff"/>
          </w:rPr>
          <w:t xml:space="preserve">пункте 4.1</w:t>
        </w:r>
      </w:hyperlink>
      <w:r>
        <w:rPr>
          <w:sz w:val="24"/>
        </w:rPr>
        <w:t xml:space="preserve"> настоящих Правил;</w:t>
      </w:r>
    </w:p>
    <w:p>
      <w:pPr>
        <w:pStyle w:val="0"/>
        <w:spacing w:before="240" w:lineRule="auto"/>
        <w:ind w:firstLine="540"/>
        <w:jc w:val="both"/>
      </w:pPr>
      <w:r>
        <w:rPr>
          <w:sz w:val="24"/>
        </w:rPr>
        <w:t xml:space="preserve">затраты на приобретение нового технологического оборудования должны быть документально подтверждены;</w:t>
      </w:r>
    </w:p>
    <w:p>
      <w:pPr>
        <w:pStyle w:val="0"/>
        <w:spacing w:before="240" w:lineRule="auto"/>
        <w:ind w:firstLine="540"/>
        <w:jc w:val="both"/>
      </w:pPr>
      <w:r>
        <w:rPr>
          <w:sz w:val="24"/>
        </w:rPr>
        <w:t xml:space="preserve">обязательство использования приобретенного нового технологического оборудования начиная со второй амортизационной группы - имущества со сроком полезного использования свыше 2 лет до 3 лет включительно - в течение срока действия соглашения в соответствии с </w:t>
      </w:r>
      <w:hyperlink w:history="0" r:id="rId41"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4"/>
            <w:color w:val="0000ff"/>
          </w:rPr>
          <w:t xml:space="preserve">Классификацией</w:t>
        </w:r>
      </w:hyperlink>
      <w:r>
        <w:rPr>
          <w:sz w:val="24"/>
        </w:rPr>
        <w:t xml:space="preserve"> основных средств, включаемых в амортизационные группы, утвержденной постановлением Правительства Российской Федерации от 1 января 2002 г. N 1.</w:t>
      </w:r>
    </w:p>
    <w:bookmarkStart w:id="104" w:name="P104"/>
    <w:bookmarkEnd w:id="104"/>
    <w:p>
      <w:pPr>
        <w:pStyle w:val="0"/>
        <w:spacing w:before="240" w:lineRule="auto"/>
        <w:ind w:firstLine="540"/>
        <w:jc w:val="both"/>
      </w:pPr>
      <w:r>
        <w:rPr>
          <w:sz w:val="24"/>
        </w:rPr>
        <w:t xml:space="preserve">2.4. Субсидия предоставляется в размере не более 50 процентов понесенных претендентом затрат, связанных с приобретением нового технологического оборудования, и в сумме, не превышающей 30 млн. рублей на получателя субсидии.</w:t>
      </w:r>
    </w:p>
    <w:p>
      <w:pPr>
        <w:pStyle w:val="0"/>
        <w:spacing w:before="240" w:lineRule="auto"/>
        <w:ind w:firstLine="540"/>
        <w:jc w:val="both"/>
      </w:pPr>
      <w:r>
        <w:rPr>
          <w:sz w:val="24"/>
        </w:rPr>
        <w:t xml:space="preserve">Субсидия по договору (договорам) поставки и (или) купли-продажи нового технологического оборудования, приобретенного за иностранную валюту, предоставляется в рублях исходя из курса рубля к иностранной валюте, установленного Центральным банком Российской Федерации на дату осуществления претендентом указанных затрат, предъявляемых к возмещению.</w:t>
      </w:r>
    </w:p>
    <w:p>
      <w:pPr>
        <w:pStyle w:val="0"/>
        <w:spacing w:before="240" w:lineRule="auto"/>
        <w:ind w:firstLine="540"/>
        <w:jc w:val="both"/>
      </w:pPr>
      <w:r>
        <w:rPr>
          <w:sz w:val="24"/>
        </w:rPr>
        <w:t xml:space="preserve">Субсидия для резидентов индустриальных (промышленных) парков, промышленных технопарков, особой экономической зоны промышленно-производственного типа "Новочебоксарск", включенных Минпромторгом России в реестр индустриальных (промышленных) парков, промышленных технопарков, предоставляется в размере не более 60 процентов понесенных претендентом затрат, связанных с приобретением нового технологического оборудования, и в сумме, не превышающей 30 млн. рублей на получателя субсидии.</w:t>
      </w:r>
    </w:p>
    <w:p>
      <w:pPr>
        <w:pStyle w:val="0"/>
        <w:spacing w:before="240" w:lineRule="auto"/>
        <w:ind w:firstLine="540"/>
        <w:jc w:val="both"/>
      </w:pPr>
      <w:r>
        <w:rPr>
          <w:sz w:val="24"/>
        </w:rPr>
        <w:t xml:space="preserve">Размер предоставляемой субсидии рассчитывается по формуле</w:t>
      </w:r>
    </w:p>
    <w:p>
      <w:pPr>
        <w:pStyle w:val="0"/>
        <w:jc w:val="both"/>
      </w:pPr>
      <w:r>
        <w:rPr>
          <w:sz w:val="24"/>
        </w:rPr>
      </w:r>
    </w:p>
    <w:p>
      <w:pPr>
        <w:pStyle w:val="0"/>
        <w:ind w:firstLine="540"/>
        <w:jc w:val="both"/>
      </w:pPr>
      <w:r>
        <w:rPr>
          <w:sz w:val="24"/>
        </w:rPr>
        <w:t xml:space="preserve">R = S</w:t>
      </w:r>
      <w:r>
        <w:rPr>
          <w:sz w:val="24"/>
          <w:vertAlign w:val="subscript"/>
        </w:rPr>
        <w:t xml:space="preserve">затрат</w:t>
      </w:r>
      <w:r>
        <w:rPr>
          <w:sz w:val="24"/>
        </w:rPr>
        <w:t xml:space="preserve"> x 50% (60%),</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R - размер субсидии;</w:t>
      </w:r>
    </w:p>
    <w:p>
      <w:pPr>
        <w:pStyle w:val="0"/>
        <w:spacing w:before="240" w:lineRule="auto"/>
        <w:ind w:firstLine="540"/>
        <w:jc w:val="both"/>
      </w:pPr>
      <w:r>
        <w:rPr>
          <w:sz w:val="24"/>
        </w:rPr>
        <w:t xml:space="preserve">S</w:t>
      </w:r>
      <w:r>
        <w:rPr>
          <w:sz w:val="24"/>
          <w:vertAlign w:val="subscript"/>
        </w:rPr>
        <w:t xml:space="preserve">затрат</w:t>
      </w:r>
      <w:r>
        <w:rPr>
          <w:sz w:val="24"/>
        </w:rPr>
        <w:t xml:space="preserve"> - произведенные затраты, связанные с приобретением нового оборудования.</w:t>
      </w:r>
    </w:p>
    <w:p>
      <w:pPr>
        <w:pStyle w:val="0"/>
        <w:spacing w:before="240" w:lineRule="auto"/>
        <w:ind w:firstLine="540"/>
        <w:jc w:val="both"/>
      </w:pPr>
      <w:r>
        <w:rPr>
          <w:sz w:val="24"/>
        </w:rPr>
        <w:t xml:space="preserve">Субсидия по инвестиционному проекту, отвечающему </w:t>
      </w:r>
      <w:hyperlink w:history="0" r:id="rId42" w:tooltip="Постановление Кабинета Министров ЧР от 18.06.2024 N 328 &quot;Об утверждении критериев проектов устойчивого развития в Чувашской Республике&quot; {КонсультантПлюс}">
        <w:r>
          <w:rPr>
            <w:sz w:val="24"/>
            <w:color w:val="0000ff"/>
          </w:rPr>
          <w:t xml:space="preserve">критериям</w:t>
        </w:r>
      </w:hyperlink>
      <w:r>
        <w:rPr>
          <w:sz w:val="24"/>
        </w:rPr>
        <w:t xml:space="preserve"> проектов устойчивого развития в Чувашской Республике, утвержденным постановлением Кабинета Министров Чувашской Республики от 18 июня 2024 г. N 328, в рамках КПСЭР предоставляется в размере не более 60 процентов понесенных претендентом затрат, связанных с приобретением нового технологического оборудования, и в сумме, не превышающей 30 млн. рублей на получателя субсидии.</w:t>
      </w:r>
    </w:p>
    <w:bookmarkStart w:id="115" w:name="P115"/>
    <w:bookmarkEnd w:id="115"/>
    <w:p>
      <w:pPr>
        <w:pStyle w:val="0"/>
        <w:spacing w:before="240" w:lineRule="auto"/>
        <w:ind w:firstLine="540"/>
        <w:jc w:val="both"/>
      </w:pPr>
      <w:r>
        <w:rPr>
          <w:sz w:val="24"/>
        </w:rPr>
        <w:t xml:space="preserve">2.5. Претендент на первое число месяца, в котором Минпромэнерго Чувашии начинает осуществлять прием заявок в соответствии с </w:t>
      </w:r>
      <w:hyperlink w:history="0" w:anchor="P157"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пунктом 3.2</w:t>
        </w:r>
      </w:hyperlink>
      <w:r>
        <w:rPr>
          <w:sz w:val="24"/>
        </w:rPr>
        <w:t xml:space="preserve"> настоящих Правил, должен соответствовать следующим требованиям:</w:t>
      </w:r>
    </w:p>
    <w:p>
      <w:pPr>
        <w:pStyle w:val="0"/>
        <w:spacing w:before="240" w:lineRule="auto"/>
        <w:ind w:firstLine="540"/>
        <w:jc w:val="both"/>
      </w:pPr>
      <w:r>
        <w:rPr>
          <w:sz w:val="24"/>
        </w:rPr>
        <w:t xml:space="preserve">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претендент не находится в составляемых в рамках реализации полномочий, предусмотренных </w:t>
      </w:r>
      <w:hyperlink w:history="0" r:id="rId43"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18" w:name="P118"/>
    <w:bookmarkEnd w:id="118"/>
    <w:p>
      <w:pPr>
        <w:pStyle w:val="0"/>
        <w:spacing w:before="240" w:lineRule="auto"/>
        <w:ind w:firstLine="540"/>
        <w:jc w:val="both"/>
      </w:pPr>
      <w:r>
        <w:rPr>
          <w:sz w:val="24"/>
        </w:rPr>
        <w:t xml:space="preserve">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претендентом,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pPr>
        <w:pStyle w:val="0"/>
        <w:spacing w:before="240" w:lineRule="auto"/>
        <w:ind w:firstLine="540"/>
        <w:jc w:val="both"/>
      </w:pPr>
      <w:r>
        <w:rPr>
          <w:sz w:val="24"/>
        </w:rPr>
        <w:t xml:space="preserve">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 являющемся получателем субсидии (участником конкурсного отбора);</w:t>
      </w:r>
    </w:p>
    <w:p>
      <w:pPr>
        <w:pStyle w:val="0"/>
        <w:spacing w:before="240" w:lineRule="auto"/>
        <w:ind w:firstLine="540"/>
        <w:jc w:val="both"/>
      </w:pPr>
      <w:r>
        <w:rPr>
          <w:sz w:val="24"/>
        </w:rPr>
        <w:t xml:space="preserve">претендент не является иностранным юридическим лицом, в том числе местом регистрации которого является государство или территория, включенные в утвержденный Минфином России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претендент не является иностранным агентом в соответствии с Федеральным </w:t>
      </w:r>
      <w:hyperlink w:history="0" r:id="rId44" w:tooltip="Федеральный закон от 14.07.2022 N 255-ФЗ (ред. от 26.06.2026) &quot;О контроле за деятельностью лиц, находящихся под иностранным влиянием&quot; {КонсультантПлюс}">
        <w:r>
          <w:rPr>
            <w:sz w:val="24"/>
            <w:color w:val="0000ff"/>
          </w:rPr>
          <w:t xml:space="preserve">законом</w:t>
        </w:r>
      </w:hyperlink>
      <w:r>
        <w:rPr>
          <w:sz w:val="24"/>
        </w:rPr>
        <w:t xml:space="preserve"> "О контроле за деятельностью лиц, находящихся под иностранным влиянием";</w:t>
      </w:r>
    </w:p>
    <w:bookmarkStart w:id="122" w:name="P122"/>
    <w:bookmarkEnd w:id="122"/>
    <w:p>
      <w:pPr>
        <w:pStyle w:val="0"/>
        <w:spacing w:before="240" w:lineRule="auto"/>
        <w:ind w:firstLine="540"/>
        <w:jc w:val="both"/>
      </w:pPr>
      <w:r>
        <w:rPr>
          <w:sz w:val="24"/>
        </w:rPr>
        <w:t xml:space="preserve">у претендента отсутствуют просроченная задолженность по возврату в республиканский бюджет Чувашской Республики иных субсидий, бюджетных инвестиций, а также иная просроченная (неурегулированная) задолженность по денежным обязательствам перед Чувашской Республикой;</w:t>
      </w:r>
    </w:p>
    <w:bookmarkStart w:id="123" w:name="P123"/>
    <w:bookmarkEnd w:id="123"/>
    <w:p>
      <w:pPr>
        <w:pStyle w:val="0"/>
        <w:spacing w:before="240" w:lineRule="auto"/>
        <w:ind w:firstLine="540"/>
        <w:jc w:val="both"/>
      </w:pPr>
      <w:r>
        <w:rPr>
          <w:sz w:val="24"/>
        </w:rPr>
        <w:t xml:space="preserve">претендент не получает средства из республиканского бюджета Чувашской Республики на основании иных нормативных правовых актов Чувашской Республики на цель, установленную в </w:t>
      </w:r>
      <w:hyperlink w:history="0" w:anchor="P58" w:tooltip="1.1. Настоящие Правила устанавливают условия и порядок предоставления субсидий из республиканского бюджета Чувашской Республики, в том числе за счет средств, поступивших в республиканский бюджет Чувашской Республики из федерального бюджета, в целях возмещения части затрат юридических лиц и индивидуальных предпринимателей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
        <w:r>
          <w:rPr>
            <w:sz w:val="24"/>
            <w:color w:val="0000ff"/>
          </w:rPr>
          <w:t xml:space="preserve">пункте 1.1</w:t>
        </w:r>
      </w:hyperlink>
      <w:r>
        <w:rPr>
          <w:sz w:val="24"/>
        </w:rPr>
        <w:t xml:space="preserve"> настоящих Правил.</w:t>
      </w:r>
    </w:p>
    <w:bookmarkStart w:id="124" w:name="P124"/>
    <w:bookmarkEnd w:id="124"/>
    <w:p>
      <w:pPr>
        <w:pStyle w:val="0"/>
        <w:spacing w:before="240" w:lineRule="auto"/>
        <w:ind w:firstLine="540"/>
        <w:jc w:val="both"/>
      </w:pPr>
      <w:r>
        <w:rPr>
          <w:sz w:val="24"/>
        </w:rPr>
        <w:t xml:space="preserve">2.6. У претендента на едином налоговом счете отсутствует или не превышает размер, определенный </w:t>
      </w:r>
      <w:hyperlink w:history="0" r:id="rId45" w:tooltip="&quot;Налоговый кодекс Российской Федерации (часть первая)&quot; от 31.07.1998 N 146-ФЗ (ред. от 26.06.2026) (с изм. и доп., вступ. в силу с 01.07.2026)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(форма по КНД 1160082) (далее - справка из налогового органа) или на дату не позднее 15 рабочих дней после дня окончания приема заявок, указанного в объявлении о проведении конкурсного отбора (в случае если претендентом по собственной инициативе не представлена справка из налогового органа).</w:t>
      </w:r>
    </w:p>
    <w:p>
      <w:pPr>
        <w:pStyle w:val="0"/>
        <w:spacing w:before="240" w:lineRule="auto"/>
        <w:ind w:firstLine="540"/>
        <w:jc w:val="both"/>
      </w:pPr>
      <w:r>
        <w:rPr>
          <w:sz w:val="24"/>
        </w:rPr>
        <w:t xml:space="preserve">2.7. Претендент имеет право на получение субсидии неоднократно при соблюдении условий, указанных в </w:t>
      </w:r>
      <w:hyperlink w:history="0" w:anchor="P95" w:tooltip="2.3. Условиями предоставления субсидии являются:">
        <w:r>
          <w:rPr>
            <w:sz w:val="24"/>
            <w:color w:val="0000ff"/>
          </w:rPr>
          <w:t xml:space="preserve">пункте 2.3</w:t>
        </w:r>
      </w:hyperlink>
      <w:r>
        <w:rPr>
          <w:sz w:val="24"/>
        </w:rPr>
        <w:t xml:space="preserve"> настоящих Правил.</w:t>
      </w:r>
    </w:p>
    <w:p>
      <w:pPr>
        <w:pStyle w:val="0"/>
        <w:jc w:val="both"/>
      </w:pPr>
      <w:r>
        <w:rPr>
          <w:sz w:val="24"/>
        </w:rPr>
        <w:t xml:space="preserve">(п. 2.7 введен </w:t>
      </w:r>
      <w:hyperlink w:history="0" r:id="rId46"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Постановлением</w:t>
        </w:r>
      </w:hyperlink>
      <w:r>
        <w:rPr>
          <w:sz w:val="24"/>
        </w:rPr>
        <w:t xml:space="preserve"> Кабинета Министров ЧР от 10.06.2026 N 379)</w:t>
      </w:r>
    </w:p>
    <w:p>
      <w:pPr>
        <w:pStyle w:val="0"/>
        <w:jc w:val="both"/>
      </w:pPr>
      <w:r>
        <w:rPr>
          <w:sz w:val="24"/>
        </w:rPr>
      </w:r>
    </w:p>
    <w:p>
      <w:pPr>
        <w:pStyle w:val="2"/>
        <w:outlineLvl w:val="1"/>
        <w:jc w:val="center"/>
      </w:pPr>
      <w:r>
        <w:rPr>
          <w:sz w:val="24"/>
        </w:rPr>
        <w:t xml:space="preserve">III. Организация конкурсного отбора</w:t>
      </w:r>
    </w:p>
    <w:p>
      <w:pPr>
        <w:pStyle w:val="0"/>
        <w:jc w:val="both"/>
      </w:pPr>
      <w:r>
        <w:rPr>
          <w:sz w:val="24"/>
        </w:rPr>
      </w:r>
    </w:p>
    <w:bookmarkStart w:id="130" w:name="P130"/>
    <w:bookmarkEnd w:id="130"/>
    <w:p>
      <w:pPr>
        <w:pStyle w:val="0"/>
        <w:ind w:firstLine="540"/>
        <w:jc w:val="both"/>
      </w:pPr>
      <w:r>
        <w:rPr>
          <w:sz w:val="24"/>
        </w:rPr>
        <w:t xml:space="preserve">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и на официальном сайте Минпромэнерго Чувашии на Портале органов власти Чувашской Республики в сети "Интернет" (далее - официальный сайт Минпромэнерго Чувашии) не позднее 5-го календарного дня до наступления даты начала приема заявок и включает в себя следующую информацию:</w:t>
      </w:r>
    </w:p>
    <w:p>
      <w:pPr>
        <w:pStyle w:val="0"/>
        <w:spacing w:before="240" w:lineRule="auto"/>
        <w:ind w:firstLine="540"/>
        <w:jc w:val="both"/>
      </w:pPr>
      <w:r>
        <w:rPr>
          <w:sz w:val="24"/>
        </w:rPr>
        <w:t xml:space="preserve">способ проведения конкурсного отбора в соответствии с </w:t>
      </w:r>
      <w:hyperlink w:history="0" w:anchor="P85" w:tooltip="2.2. Способом проведения отбора является конкурс.">
        <w:r>
          <w:rPr>
            <w:sz w:val="24"/>
            <w:color w:val="0000ff"/>
          </w:rPr>
          <w:t xml:space="preserve">пунктом 2.2</w:t>
        </w:r>
      </w:hyperlink>
      <w:r>
        <w:rPr>
          <w:sz w:val="24"/>
        </w:rPr>
        <w:t xml:space="preserve"> настоящих Правил;</w:t>
      </w:r>
    </w:p>
    <w:p>
      <w:pPr>
        <w:pStyle w:val="0"/>
        <w:spacing w:before="240" w:lineRule="auto"/>
        <w:ind w:firstLine="540"/>
        <w:jc w:val="both"/>
      </w:pPr>
      <w:r>
        <w:rPr>
          <w:sz w:val="24"/>
        </w:rPr>
        <w:t xml:space="preserve">наименование, местонахождение, почтовый адрес, адрес электронной почты, контактный телефон Минпромэнерго Чувашии;</w:t>
      </w:r>
    </w:p>
    <w:p>
      <w:pPr>
        <w:pStyle w:val="0"/>
        <w:spacing w:before="240" w:lineRule="auto"/>
        <w:ind w:firstLine="540"/>
        <w:jc w:val="both"/>
      </w:pPr>
      <w:r>
        <w:rPr>
          <w:sz w:val="24"/>
        </w:rPr>
        <w:t xml:space="preserve">сроки проведения конкурсного отбора, а также при необходимости информацию о возможности проведения нескольких этапов конкурсного отбора с указанием сроков и порядка их проведения;</w:t>
      </w:r>
    </w:p>
    <w:p>
      <w:pPr>
        <w:pStyle w:val="0"/>
        <w:spacing w:before="240" w:lineRule="auto"/>
        <w:ind w:firstLine="540"/>
        <w:jc w:val="both"/>
      </w:pPr>
      <w:r>
        <w:rPr>
          <w:sz w:val="24"/>
        </w:rPr>
        <w:t xml:space="preserve">дату и время начала приема заявок, а также дату и время окончания приема заявок, при этом дата окончания приема заявок не может быть ранее 30-го календарного дня, следующего за днем размещения объявления о проведении конкурсного отбора;</w:t>
      </w:r>
    </w:p>
    <w:p>
      <w:pPr>
        <w:pStyle w:val="0"/>
        <w:spacing w:before="240" w:lineRule="auto"/>
        <w:ind w:firstLine="540"/>
        <w:jc w:val="both"/>
      </w:pPr>
      <w:r>
        <w:rPr>
          <w:sz w:val="24"/>
        </w:rPr>
        <w:t xml:space="preserve">наименование субсидии, результат предоставления субсидии в соответствии с </w:t>
      </w:r>
      <w:hyperlink w:history="0" w:anchor="P301" w:tooltip="4.10. Результатом предоставления субсидии является достижение получателем субсидии значений следующих характеристик результата:">
        <w:r>
          <w:rPr>
            <w:sz w:val="24"/>
            <w:color w:val="0000ff"/>
          </w:rPr>
          <w:t xml:space="preserve">пунктом 4.10</w:t>
        </w:r>
      </w:hyperlink>
      <w:r>
        <w:rPr>
          <w:sz w:val="24"/>
        </w:rPr>
        <w:t xml:space="preserve"> настоящих Правил, а также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характеристики результата);</w:t>
      </w:r>
    </w:p>
    <w:p>
      <w:pPr>
        <w:pStyle w:val="0"/>
        <w:spacing w:before="240" w:lineRule="auto"/>
        <w:ind w:firstLine="540"/>
        <w:jc w:val="both"/>
      </w:pPr>
      <w:r>
        <w:rPr>
          <w:sz w:val="24"/>
        </w:rPr>
        <w:t xml:space="preserve">доменное имя и (или) указатели страниц государственной информационной системы в сети "Интернет";</w:t>
      </w:r>
    </w:p>
    <w:p>
      <w:pPr>
        <w:pStyle w:val="0"/>
        <w:spacing w:before="240" w:lineRule="auto"/>
        <w:ind w:firstLine="540"/>
        <w:jc w:val="both"/>
      </w:pPr>
      <w:r>
        <w:rPr>
          <w:sz w:val="24"/>
        </w:rPr>
        <w:t xml:space="preserve">категории получателей субсидий и критерии оценки заявок;</w:t>
      </w:r>
    </w:p>
    <w:p>
      <w:pPr>
        <w:pStyle w:val="0"/>
        <w:spacing w:before="240" w:lineRule="auto"/>
        <w:ind w:firstLine="540"/>
        <w:jc w:val="both"/>
      </w:pPr>
      <w:r>
        <w:rPr>
          <w:sz w:val="24"/>
        </w:rPr>
        <w:t xml:space="preserve">требования к претенденту в соответствии с </w:t>
      </w:r>
      <w:hyperlink w:history="0" w:anchor="P115"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пунктами 2.5</w:t>
        </w:r>
      </w:hyperlink>
      <w:r>
        <w:rPr>
          <w:sz w:val="24"/>
        </w:rPr>
        <w:t xml:space="preserve"> и </w:t>
      </w:r>
      <w:hyperlink w:history="0" w:anchor="P124"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2.6</w:t>
        </w:r>
      </w:hyperlink>
      <w:r>
        <w:rPr>
          <w:sz w:val="24"/>
        </w:rPr>
        <w:t xml:space="preserve"> настоящих Правил и перечень документов, представляемых претендентом для подтверждения его соответствия указанным требованиям;</w:t>
      </w:r>
    </w:p>
    <w:p>
      <w:pPr>
        <w:pStyle w:val="0"/>
        <w:spacing w:before="240" w:lineRule="auto"/>
        <w:ind w:firstLine="540"/>
        <w:jc w:val="both"/>
      </w:pPr>
      <w:r>
        <w:rPr>
          <w:sz w:val="24"/>
        </w:rPr>
        <w:t xml:space="preserve">порядок подачи заявок и требования, предъявляемые к форме и содержанию заявок;</w:t>
      </w:r>
    </w:p>
    <w:p>
      <w:pPr>
        <w:pStyle w:val="0"/>
        <w:spacing w:before="240" w:lineRule="auto"/>
        <w:ind w:firstLine="540"/>
        <w:jc w:val="both"/>
      </w:pPr>
      <w:r>
        <w:rPr>
          <w:sz w:val="24"/>
        </w:rPr>
        <w:t xml:space="preserve">порядок отзыва заявок;</w:t>
      </w:r>
    </w:p>
    <w:p>
      <w:pPr>
        <w:pStyle w:val="0"/>
        <w:spacing w:before="240" w:lineRule="auto"/>
        <w:ind w:firstLine="540"/>
        <w:jc w:val="both"/>
      </w:pPr>
      <w:r>
        <w:rPr>
          <w:sz w:val="24"/>
        </w:rPr>
        <w:t xml:space="preserve">порядок возврата заявок и основания для возврата заявок на доработку;</w:t>
      </w:r>
    </w:p>
    <w:p>
      <w:pPr>
        <w:pStyle w:val="0"/>
        <w:spacing w:before="240" w:lineRule="auto"/>
        <w:ind w:firstLine="540"/>
        <w:jc w:val="both"/>
      </w:pPr>
      <w:r>
        <w:rPr>
          <w:sz w:val="24"/>
        </w:rPr>
        <w:t xml:space="preserve">порядок внесения изменений в заявки;</w:t>
      </w:r>
    </w:p>
    <w:p>
      <w:pPr>
        <w:pStyle w:val="0"/>
        <w:spacing w:before="240" w:lineRule="auto"/>
        <w:ind w:firstLine="540"/>
        <w:jc w:val="both"/>
      </w:pPr>
      <w:r>
        <w:rPr>
          <w:sz w:val="24"/>
        </w:rPr>
        <w:t xml:space="preserve">дату вскрытия заявок;</w:t>
      </w:r>
    </w:p>
    <w:p>
      <w:pPr>
        <w:pStyle w:val="0"/>
        <w:spacing w:before="240" w:lineRule="auto"/>
        <w:ind w:firstLine="540"/>
        <w:jc w:val="both"/>
      </w:pPr>
      <w:r>
        <w:rPr>
          <w:sz w:val="24"/>
        </w:rPr>
        <w:t xml:space="preserve">правила рассмотрения и оценки заявок в соответствии с настоящими Правилами;</w:t>
      </w:r>
    </w:p>
    <w:p>
      <w:pPr>
        <w:pStyle w:val="0"/>
        <w:spacing w:before="240" w:lineRule="auto"/>
        <w:ind w:firstLine="540"/>
        <w:jc w:val="both"/>
      </w:pPr>
      <w:r>
        <w:rPr>
          <w:sz w:val="24"/>
        </w:rPr>
        <w:t xml:space="preserve">объем распределяемых субсидий в рамках конкурсного отбора, порядок расчета размера субсидий, правила распределения субсидий по результатам конкурсного отбора;</w:t>
      </w:r>
    </w:p>
    <w:p>
      <w:pPr>
        <w:pStyle w:val="0"/>
        <w:spacing w:before="240" w:lineRule="auto"/>
        <w:ind w:firstLine="540"/>
        <w:jc w:val="both"/>
      </w:pPr>
      <w:r>
        <w:rPr>
          <w:sz w:val="24"/>
        </w:rPr>
        <w:t xml:space="preserve">порядок отклонения заявок, а также информацию об основаниях их отклонения;</w:t>
      </w:r>
    </w:p>
    <w:p>
      <w:pPr>
        <w:pStyle w:val="0"/>
        <w:spacing w:before="240" w:lineRule="auto"/>
        <w:ind w:firstLine="540"/>
        <w:jc w:val="both"/>
      </w:pPr>
      <w:r>
        <w:rPr>
          <w:sz w:val="24"/>
        </w:rPr>
        <w:t xml:space="preserve">порядок оценки заявок, включающий критерии оценки заявок, показатели критериев оценки заявок и их весовое значение в общей оценке, необходимую для представления претендентом информацию по каждому критерию оценки заявок, сведения, документы и материалы, подтверждающие такую информацию, минимальный проходной балл, который необходимо набрать по результатам оценки заявок претенденту для признания его победителем конкурсного отбора (при необходимости), сроки оценки заявок, а также информацию об участии или неучастии Комиссии и экспертов (экспертных организаций) в оценке заявок;</w:t>
      </w:r>
    </w:p>
    <w:p>
      <w:pPr>
        <w:pStyle w:val="0"/>
        <w:spacing w:before="240" w:lineRule="auto"/>
        <w:ind w:firstLine="540"/>
        <w:jc w:val="both"/>
      </w:pPr>
      <w:r>
        <w:rPr>
          <w:sz w:val="24"/>
        </w:rPr>
        <w:t xml:space="preserve">порядок предоставления претенденту разъяснений положений объявления о проведении конкурсного отбора, даты начала и окончания срока такого предоставления;</w:t>
      </w:r>
    </w:p>
    <w:p>
      <w:pPr>
        <w:pStyle w:val="0"/>
        <w:spacing w:before="240" w:lineRule="auto"/>
        <w:ind w:firstLine="540"/>
        <w:jc w:val="both"/>
      </w:pPr>
      <w:r>
        <w:rPr>
          <w:sz w:val="24"/>
        </w:rPr>
        <w:t xml:space="preserve">срок размещения протокола подведения итогов конкурсного отбора (документа об итогах проведения конкурсного отбора) на едином портале, а также при необходимости на официальном сайте Минпромэнерго Чувашии, который не может быть позднее 14-го календарного дня, следующего за днем определения победителей конкурсного отбора;</w:t>
      </w:r>
    </w:p>
    <w:p>
      <w:pPr>
        <w:pStyle w:val="0"/>
        <w:spacing w:before="240" w:lineRule="auto"/>
        <w:ind w:firstLine="540"/>
        <w:jc w:val="both"/>
      </w:pPr>
      <w:r>
        <w:rPr>
          <w:sz w:val="24"/>
        </w:rPr>
        <w:t xml:space="preserve">срок, в течение которого победитель конкурсного отбора должен подписать соглашение;</w:t>
      </w:r>
    </w:p>
    <w:p>
      <w:pPr>
        <w:pStyle w:val="0"/>
        <w:spacing w:before="240" w:lineRule="auto"/>
        <w:ind w:firstLine="540"/>
        <w:jc w:val="both"/>
      </w:pPr>
      <w:r>
        <w:rPr>
          <w:sz w:val="24"/>
        </w:rPr>
        <w:t xml:space="preserve">условия признания победителя конкурсного отбора уклонившимся от заключения соглашения.</w:t>
      </w:r>
    </w:p>
    <w:p>
      <w:pPr>
        <w:pStyle w:val="0"/>
        <w:spacing w:before="240" w:lineRule="auto"/>
        <w:ind w:firstLine="540"/>
        <w:jc w:val="both"/>
      </w:pPr>
      <w:r>
        <w:rPr>
          <w:sz w:val="24"/>
        </w:rPr>
        <w:t xml:space="preserve">Внесение изменений в объявление о проведении конкурсного отбора осуществляется не позднее наступления даты окончания приема заявок с соблюдением следующих условий:</w:t>
      </w:r>
    </w:p>
    <w:p>
      <w:pPr>
        <w:pStyle w:val="0"/>
        <w:spacing w:before="240" w:lineRule="auto"/>
        <w:ind w:firstLine="540"/>
        <w:jc w:val="both"/>
      </w:pPr>
      <w:r>
        <w:rPr>
          <w:sz w:val="24"/>
        </w:rPr>
        <w:t xml:space="preserve">срок подачи претендентами заявок продлевается таким образом, чтобы со дня, следующего за днем внесения таких изменений, до даты окончания приема заявок указанный срок составил не менее 10 календарных дней;</w:t>
      </w:r>
    </w:p>
    <w:p>
      <w:pPr>
        <w:pStyle w:val="0"/>
        <w:spacing w:before="240" w:lineRule="auto"/>
        <w:ind w:firstLine="540"/>
        <w:jc w:val="both"/>
      </w:pPr>
      <w:r>
        <w:rPr>
          <w:sz w:val="24"/>
        </w:rPr>
        <w:t xml:space="preserve">при внесении изменений в объявление о проведении конкурсного отбора изменение способа отбора получателей субсидий не допускается;</w:t>
      </w:r>
    </w:p>
    <w:p>
      <w:pPr>
        <w:pStyle w:val="0"/>
        <w:spacing w:before="240" w:lineRule="auto"/>
        <w:ind w:firstLine="540"/>
        <w:jc w:val="both"/>
      </w:pPr>
      <w:r>
        <w:rPr>
          <w:sz w:val="24"/>
        </w:rPr>
        <w:t xml:space="preserve">в случае внесения изменений в объявление о проведении конкурсного отбора после наступления даты начала приема заявок в объявление о проведении конкурсного отбора включается положение, предусматривающее право участников конкурсного отбора внести изменения в заявки;</w:t>
      </w:r>
    </w:p>
    <w:p>
      <w:pPr>
        <w:pStyle w:val="0"/>
        <w:spacing w:before="240" w:lineRule="auto"/>
        <w:ind w:firstLine="540"/>
        <w:jc w:val="both"/>
      </w:pPr>
      <w:r>
        <w:rPr>
          <w:sz w:val="24"/>
        </w:rPr>
        <w:t xml:space="preserve">претенденты, подавшие заявку, уведомляются о внесении изменений в объявление о проведении конкурсного отбора не позднее дня, следующего за днем внесения изменений в объявление о проведении конкурсного отбора, с использованием системы "Электронный бюджет".</w:t>
      </w:r>
    </w:p>
    <w:bookmarkStart w:id="157" w:name="P157"/>
    <w:bookmarkEnd w:id="157"/>
    <w:p>
      <w:pPr>
        <w:pStyle w:val="0"/>
        <w:spacing w:before="240" w:lineRule="auto"/>
        <w:ind w:firstLine="540"/>
        <w:jc w:val="both"/>
      </w:pPr>
      <w:r>
        <w:rPr>
          <w:sz w:val="24"/>
        </w:rPr>
        <w:t xml:space="preserve">3.2. Заявка подается в соответствии с требованиями и в сроки, которые указаны в объявлении о проведении конкурсного отбора согласно </w:t>
      </w:r>
      <w:hyperlink w:history="0" w:anchor="P130" w:tooltip="3.1. Объявление о проведении конкурсного отбора формируется Минпромэнерго Чувашии в электронной форме посредством заполнения соответствующих экранных форм веб-интерфейса системы &quot;Электронный бюджет&quot;,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и на официальном сайте Минпромэнерго Чувашии на Портале органов власти Чувашской Республики в сети &quot;Интернет&quot; (далее - официальный ...">
        <w:r>
          <w:rPr>
            <w:sz w:val="24"/>
            <w:color w:val="0000ff"/>
          </w:rPr>
          <w:t xml:space="preserve">пункту 3.1</w:t>
        </w:r>
      </w:hyperlink>
      <w:r>
        <w:rPr>
          <w:sz w:val="24"/>
        </w:rPr>
        <w:t xml:space="preserve"> настоящих Правил.</w:t>
      </w:r>
    </w:p>
    <w:p>
      <w:pPr>
        <w:pStyle w:val="0"/>
        <w:spacing w:before="240" w:lineRule="auto"/>
        <w:ind w:firstLine="540"/>
        <w:jc w:val="both"/>
      </w:pPr>
      <w:r>
        <w:rPr>
          <w:sz w:val="24"/>
        </w:rPr>
        <w:t xml:space="preserve">Заявка формируется претендентом в электронной форме в течение 30 календарных дней со дня начала приема заявок, указанного в объявлении о проведении конкурсного отбора,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следующих документов (документов на бумажном носителе, преобразованных в электронную форму путем сканирования):</w:t>
      </w:r>
    </w:p>
    <w:bookmarkStart w:id="159" w:name="P159"/>
    <w:bookmarkEnd w:id="159"/>
    <w:p>
      <w:pPr>
        <w:pStyle w:val="0"/>
        <w:spacing w:before="240" w:lineRule="auto"/>
        <w:ind w:firstLine="540"/>
        <w:jc w:val="both"/>
      </w:pPr>
      <w:hyperlink w:history="0" w:anchor="P398" w:tooltip="                                 ЗАЯВЛЕНИЕ">
        <w:r>
          <w:rPr>
            <w:sz w:val="24"/>
            <w:color w:val="0000ff"/>
          </w:rPr>
          <w:t xml:space="preserve">заявления</w:t>
        </w:r>
      </w:hyperlink>
      <w:r>
        <w:rPr>
          <w:sz w:val="24"/>
        </w:rPr>
        <w:t xml:space="preserve"> на предоставление субсидии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по форме согласно приложению N 1 к настоящим Правилам;</w:t>
      </w:r>
    </w:p>
    <w:p>
      <w:pPr>
        <w:pStyle w:val="0"/>
        <w:spacing w:before="240" w:lineRule="auto"/>
        <w:ind w:firstLine="540"/>
        <w:jc w:val="both"/>
      </w:pPr>
      <w:r>
        <w:rPr>
          <w:sz w:val="24"/>
        </w:rPr>
        <w:t xml:space="preserve">пояснительной записки по форме согласно </w:t>
      </w:r>
      <w:hyperlink w:history="0" w:anchor="P479" w:tooltip="ПОЯСНИТЕЛЬНАЯ ЗАПИСКА">
        <w:r>
          <w:rPr>
            <w:sz w:val="24"/>
            <w:color w:val="0000ff"/>
          </w:rPr>
          <w:t xml:space="preserve">приложению N 2</w:t>
        </w:r>
      </w:hyperlink>
      <w:r>
        <w:rPr>
          <w:sz w:val="24"/>
        </w:rPr>
        <w:t xml:space="preserve"> к настоящим Правилам;</w:t>
      </w:r>
    </w:p>
    <w:p>
      <w:pPr>
        <w:pStyle w:val="0"/>
        <w:spacing w:before="240" w:lineRule="auto"/>
        <w:ind w:firstLine="540"/>
        <w:jc w:val="both"/>
      </w:pPr>
      <w:hyperlink w:history="0" w:anchor="P579" w:tooltip="                              СПРАВКА-РАСЧЕТ">
        <w:r>
          <w:rPr>
            <w:sz w:val="24"/>
            <w:color w:val="0000ff"/>
          </w:rPr>
          <w:t xml:space="preserve">справки-расчета</w:t>
        </w:r>
      </w:hyperlink>
      <w:r>
        <w:rPr>
          <w:sz w:val="24"/>
        </w:rPr>
        <w:t xml:space="preserve"> на получение субсидии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по форме согласно приложению N 3 к настоящим Правилам;</w:t>
      </w:r>
    </w:p>
    <w:p>
      <w:pPr>
        <w:pStyle w:val="0"/>
        <w:spacing w:before="240" w:lineRule="auto"/>
        <w:ind w:firstLine="540"/>
        <w:jc w:val="both"/>
      </w:pPr>
      <w:hyperlink w:history="0" w:anchor="P657" w:tooltip="                                 СВЕДЕНИЯ">
        <w:r>
          <w:rPr>
            <w:sz w:val="24"/>
            <w:color w:val="0000ff"/>
          </w:rPr>
          <w:t xml:space="preserve">сведений</w:t>
        </w:r>
      </w:hyperlink>
      <w:r>
        <w:rPr>
          <w:sz w:val="24"/>
        </w:rPr>
        <w:t xml:space="preserve"> о численности и заработной плате работников за год, предшествующий году подачи заявки, по форме согласно приложению N 4 к настоящим Правилам;</w:t>
      </w:r>
    </w:p>
    <w:p>
      <w:pPr>
        <w:pStyle w:val="0"/>
        <w:spacing w:before="240" w:lineRule="auto"/>
        <w:ind w:firstLine="540"/>
        <w:jc w:val="both"/>
      </w:pPr>
      <w:hyperlink w:history="0" w:anchor="P721" w:tooltip="                               ОБЯЗАТЕЛЬСТВО">
        <w:r>
          <w:rPr>
            <w:sz w:val="24"/>
            <w:color w:val="0000ff"/>
          </w:rPr>
          <w:t xml:space="preserve">обязательства</w:t>
        </w:r>
      </w:hyperlink>
      <w:r>
        <w:rPr>
          <w:sz w:val="24"/>
        </w:rPr>
        <w:t xml:space="preserve"> целевого использования нового технологического оборудования по форме согласно приложению N 5 к настоящим Правилам;</w:t>
      </w:r>
    </w:p>
    <w:p>
      <w:pPr>
        <w:pStyle w:val="0"/>
        <w:spacing w:before="240" w:lineRule="auto"/>
        <w:ind w:firstLine="540"/>
        <w:jc w:val="both"/>
      </w:pPr>
      <w:r>
        <w:rPr>
          <w:sz w:val="24"/>
        </w:rPr>
        <w:t xml:space="preserve">расчета по страховым взносам за предшествующий календарный год с отметкой налогового органа, в случае представления расчета в электронном виде - с приложением квитанции о приеме;</w:t>
      </w:r>
    </w:p>
    <w:p>
      <w:pPr>
        <w:pStyle w:val="0"/>
        <w:spacing w:before="240" w:lineRule="auto"/>
        <w:ind w:firstLine="540"/>
        <w:jc w:val="both"/>
      </w:pPr>
      <w:r>
        <w:rPr>
          <w:sz w:val="24"/>
        </w:rPr>
        <w:t xml:space="preserve">сведений по форме N П-2 "Сведения об инвестициях в нефинансовые активы" за предшествующий календарный год (для организаций, сдающих сведения в органы статистики);</w:t>
      </w:r>
    </w:p>
    <w:p>
      <w:pPr>
        <w:pStyle w:val="0"/>
        <w:spacing w:before="240" w:lineRule="auto"/>
        <w:ind w:firstLine="540"/>
        <w:jc w:val="both"/>
      </w:pPr>
      <w:hyperlink w:history="0" w:anchor="P823" w:tooltip="                                 СВЕДЕНИЯ">
        <w:r>
          <w:rPr>
            <w:sz w:val="24"/>
            <w:color w:val="0000ff"/>
          </w:rPr>
          <w:t xml:space="preserve">сведений</w:t>
        </w:r>
      </w:hyperlink>
      <w:r>
        <w:rPr>
          <w:sz w:val="24"/>
        </w:rPr>
        <w:t xml:space="preserve"> об инвестициях в нефинансовые активы по форме согласно приложению N 6 к настоящим Правилам (для субъектов малого предпринимательства);</w:t>
      </w:r>
    </w:p>
    <w:p>
      <w:pPr>
        <w:pStyle w:val="0"/>
        <w:spacing w:before="240" w:lineRule="auto"/>
        <w:ind w:firstLine="540"/>
        <w:jc w:val="both"/>
      </w:pPr>
      <w:hyperlink w:history="0" w:anchor="P1002" w:tooltip="РЕЗЮМЕ">
        <w:r>
          <w:rPr>
            <w:sz w:val="24"/>
            <w:color w:val="0000ff"/>
          </w:rPr>
          <w:t xml:space="preserve">резюме</w:t>
        </w:r>
      </w:hyperlink>
      <w:r>
        <w:rPr>
          <w:sz w:val="24"/>
        </w:rPr>
        <w:t xml:space="preserve"> инвестиционного проекта по форме согласно приложению N 7 к настоящим Правилам;</w:t>
      </w:r>
    </w:p>
    <w:p>
      <w:pPr>
        <w:pStyle w:val="0"/>
        <w:spacing w:before="240" w:lineRule="auto"/>
        <w:ind w:firstLine="540"/>
        <w:jc w:val="both"/>
      </w:pPr>
      <w:r>
        <w:rPr>
          <w:sz w:val="24"/>
        </w:rPr>
        <w:t xml:space="preserve">товарных накладных, счетов-фактур, универсальных передаточных документов, а также иных документов, подтверждающих фактическую передачу оборудования и его стоимость;</w:t>
      </w:r>
    </w:p>
    <w:p>
      <w:pPr>
        <w:pStyle w:val="0"/>
        <w:jc w:val="both"/>
      </w:pPr>
      <w:r>
        <w:rPr>
          <w:sz w:val="24"/>
        </w:rPr>
        <w:t xml:space="preserve">(в ред. </w:t>
      </w:r>
      <w:hyperlink w:history="0" r:id="rId47"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договора (договоров) поставки и (или) купли-продажи нового технологического оборудования с указанием полной стоимости приобретенного нового технологического оборудования;</w:t>
      </w:r>
    </w:p>
    <w:p>
      <w:pPr>
        <w:pStyle w:val="0"/>
        <w:spacing w:before="240" w:lineRule="auto"/>
        <w:ind w:firstLine="540"/>
        <w:jc w:val="both"/>
      </w:pPr>
      <w:r>
        <w:rPr>
          <w:sz w:val="24"/>
        </w:rPr>
        <w:t xml:space="preserve">актов приема-передачи приобретенного нового технологического оборудования (в случае, если соответствующий документ предусмотрен договором на приобретение оборудования);</w:t>
      </w:r>
    </w:p>
    <w:p>
      <w:pPr>
        <w:pStyle w:val="0"/>
        <w:jc w:val="both"/>
      </w:pPr>
      <w:r>
        <w:rPr>
          <w:sz w:val="24"/>
        </w:rPr>
        <w:t xml:space="preserve">(в ред. </w:t>
      </w:r>
      <w:hyperlink w:history="0" r:id="rId48"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документов, подтверждающих полную оплату нового технологического оборудования по договору (договорам) поставки и (или) купли-продажи;</w:t>
      </w:r>
    </w:p>
    <w:p>
      <w:pPr>
        <w:pStyle w:val="0"/>
        <w:spacing w:before="240" w:lineRule="auto"/>
        <w:ind w:firstLine="540"/>
        <w:jc w:val="both"/>
      </w:pPr>
      <w:r>
        <w:rPr>
          <w:sz w:val="24"/>
        </w:rPr>
        <w:t xml:space="preserve">документов о постановке нового технологического оборудования на баланс претендента;</w:t>
      </w:r>
    </w:p>
    <w:bookmarkStart w:id="175" w:name="P175"/>
    <w:bookmarkEnd w:id="175"/>
    <w:p>
      <w:pPr>
        <w:pStyle w:val="0"/>
        <w:spacing w:before="240" w:lineRule="auto"/>
        <w:ind w:firstLine="540"/>
        <w:jc w:val="both"/>
      </w:pPr>
      <w:r>
        <w:rPr>
          <w:sz w:val="24"/>
        </w:rPr>
        <w:t xml:space="preserve">фотографий приобретенного нового технологического оборудования, которые должны:</w:t>
      </w:r>
    </w:p>
    <w:p>
      <w:pPr>
        <w:pStyle w:val="0"/>
        <w:spacing w:before="240" w:lineRule="auto"/>
        <w:ind w:firstLine="540"/>
        <w:jc w:val="both"/>
      </w:pPr>
      <w:r>
        <w:rPr>
          <w:sz w:val="24"/>
        </w:rPr>
        <w:t xml:space="preserve">быть цветными, четкими, содержать общий вид нового технологического оборудования с разных сторон (с читаемым присвоенным инвентарным номером);</w:t>
      </w:r>
    </w:p>
    <w:p>
      <w:pPr>
        <w:pStyle w:val="0"/>
        <w:spacing w:before="240" w:lineRule="auto"/>
        <w:ind w:firstLine="540"/>
        <w:jc w:val="both"/>
      </w:pPr>
      <w:r>
        <w:rPr>
          <w:sz w:val="24"/>
        </w:rPr>
        <w:t xml:space="preserve">содержать изображение заводской таблички изготовителя или иной информационной таблички (в том числе пластинок, ярлыков) с информацией о наименовании нового технологического оборудования, сведения об изготовителе, заводских номерах, дате изготовления (при наличии).</w:t>
      </w:r>
    </w:p>
    <w:p>
      <w:pPr>
        <w:pStyle w:val="0"/>
        <w:spacing w:before="240" w:lineRule="auto"/>
        <w:ind w:firstLine="540"/>
        <w:jc w:val="both"/>
      </w:pPr>
      <w:r>
        <w:rPr>
          <w:sz w:val="24"/>
        </w:rPr>
        <w:t xml:space="preserve">Электронные копии документов и материалов, указанные в настоящем пункте, включенные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spacing w:before="240" w:lineRule="auto"/>
        <w:ind w:firstLine="540"/>
        <w:jc w:val="both"/>
      </w:pPr>
      <w:r>
        <w:rPr>
          <w:sz w:val="24"/>
        </w:rPr>
        <w:t xml:space="preserve">В рамках одного конкурсного отбора претендент вправе подать не более одной заявки, указав сумму субсидии не более размера, определенного в соответствии с </w:t>
      </w:r>
      <w:hyperlink w:history="0" w:anchor="P104" w:tooltip="2.4. Субсидия предоставляется в размере не более 50 процентов понесенных претендентом затрат, связанных с приобретением нового технологического оборудования, и в сумме, не превышающей 30 млн. рублей на получателя субсидии.">
        <w:r>
          <w:rPr>
            <w:sz w:val="24"/>
            <w:color w:val="0000ff"/>
          </w:rPr>
          <w:t xml:space="preserve">пунктом 2.4</w:t>
        </w:r>
      </w:hyperlink>
      <w:r>
        <w:rPr>
          <w:sz w:val="24"/>
        </w:rPr>
        <w:t xml:space="preserve"> настоящих Правил.</w:t>
      </w:r>
    </w:p>
    <w:p>
      <w:pPr>
        <w:pStyle w:val="0"/>
        <w:spacing w:before="240" w:lineRule="auto"/>
        <w:ind w:firstLine="540"/>
        <w:jc w:val="both"/>
      </w:pPr>
      <w:r>
        <w:rPr>
          <w:sz w:val="24"/>
        </w:rPr>
        <w:t xml:space="preserve">Ответственность за правильность оформления, полноту, актуальность и достоверность представленных претендентом на конкурсный отбор документов, а также за своевременность их представления несет претендент в соответствии с законодательством Российской Федерации.</w:t>
      </w:r>
    </w:p>
    <w:p>
      <w:pPr>
        <w:pStyle w:val="0"/>
        <w:spacing w:before="240" w:lineRule="auto"/>
        <w:ind w:firstLine="540"/>
        <w:jc w:val="both"/>
      </w:pPr>
      <w:r>
        <w:rPr>
          <w:sz w:val="24"/>
        </w:rPr>
        <w:t xml:space="preserve">3.3. Заявка подписывается усиленной квалифицированной электронной подписью руководителя претендента (индивидуального предпринимателя) в порядке, установленном Федеральным </w:t>
      </w:r>
      <w:hyperlink w:history="0" r:id="rId49" w:tooltip="Федеральный закон от 06.04.2011 N 63-ФЗ (ред. от 31.07.2025) &quot;Об электронной подписи&quot; {КонсультантПлюс}">
        <w:r>
          <w:rPr>
            <w:sz w:val="24"/>
            <w:color w:val="0000ff"/>
          </w:rPr>
          <w:t xml:space="preserve">законом</w:t>
        </w:r>
      </w:hyperlink>
      <w:r>
        <w:rPr>
          <w:sz w:val="24"/>
        </w:rPr>
        <w:t xml:space="preserve"> "Об электронной подписи".</w:t>
      </w:r>
    </w:p>
    <w:p>
      <w:pPr>
        <w:pStyle w:val="0"/>
        <w:spacing w:before="240" w:lineRule="auto"/>
        <w:ind w:firstLine="540"/>
        <w:jc w:val="both"/>
      </w:pPr>
      <w:r>
        <w:rPr>
          <w:sz w:val="24"/>
        </w:rPr>
        <w:t xml:space="preserve">В случае если заявка подписывается не руководителем претендента (индивидуальным предпринимателем), помимо документов, указанных в </w:t>
      </w:r>
      <w:hyperlink w:history="0" w:anchor="P157"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пункте 3.2</w:t>
        </w:r>
      </w:hyperlink>
      <w:r>
        <w:rPr>
          <w:sz w:val="24"/>
        </w:rPr>
        <w:t xml:space="preserve"> настоящих Правил, должна быть приложена доверенность на подписание, оформленная в соответствии с законодательством Российской Федерации, выданная руководителем претендента (индивидуальным предпринимателем).</w:t>
      </w:r>
    </w:p>
    <w:p>
      <w:pPr>
        <w:pStyle w:val="0"/>
        <w:spacing w:before="240" w:lineRule="auto"/>
        <w:ind w:firstLine="540"/>
        <w:jc w:val="both"/>
      </w:pPr>
      <w:r>
        <w:rPr>
          <w:sz w:val="24"/>
        </w:rPr>
        <w:t xml:space="preserve">3.4. Заявка содержит следующие сведения:</w:t>
      </w:r>
    </w:p>
    <w:p>
      <w:pPr>
        <w:pStyle w:val="0"/>
        <w:spacing w:before="240" w:lineRule="auto"/>
        <w:ind w:firstLine="540"/>
        <w:jc w:val="both"/>
      </w:pPr>
      <w:r>
        <w:rPr>
          <w:sz w:val="24"/>
        </w:rPr>
        <w:t xml:space="preserve">а) информацию и документы о претенденте:</w:t>
      </w:r>
    </w:p>
    <w:p>
      <w:pPr>
        <w:pStyle w:val="0"/>
        <w:spacing w:before="240" w:lineRule="auto"/>
        <w:ind w:firstLine="540"/>
        <w:jc w:val="both"/>
      </w:pPr>
      <w:r>
        <w:rPr>
          <w:sz w:val="24"/>
        </w:rPr>
        <w:t xml:space="preserve">полное и сокращенное (при наличии) наименование претендента (для юридических лиц);</w:t>
      </w:r>
    </w:p>
    <w:p>
      <w:pPr>
        <w:pStyle w:val="0"/>
        <w:spacing w:before="240" w:lineRule="auto"/>
        <w:ind w:firstLine="540"/>
        <w:jc w:val="both"/>
      </w:pPr>
      <w:r>
        <w:rPr>
          <w:sz w:val="24"/>
        </w:rPr>
        <w:t xml:space="preserve">фамилию, имя, отчество (последнее - при наличии) индивидуального предпринимателя;</w:t>
      </w:r>
    </w:p>
    <w:p>
      <w:pPr>
        <w:pStyle w:val="0"/>
        <w:spacing w:before="240" w:lineRule="auto"/>
        <w:ind w:firstLine="540"/>
        <w:jc w:val="both"/>
      </w:pPr>
      <w:r>
        <w:rPr>
          <w:sz w:val="24"/>
        </w:rPr>
        <w:t xml:space="preserve">основной государственный регистрационный номер претендента;</w:t>
      </w:r>
    </w:p>
    <w:p>
      <w:pPr>
        <w:pStyle w:val="0"/>
        <w:spacing w:before="240" w:lineRule="auto"/>
        <w:ind w:firstLine="540"/>
        <w:jc w:val="both"/>
      </w:pPr>
      <w:r>
        <w:rPr>
          <w:sz w:val="24"/>
        </w:rPr>
        <w:t xml:space="preserve">идентификационный номер налогоплательщика;</w:t>
      </w:r>
    </w:p>
    <w:p>
      <w:pPr>
        <w:pStyle w:val="0"/>
        <w:spacing w:before="240" w:lineRule="auto"/>
        <w:ind w:firstLine="540"/>
        <w:jc w:val="both"/>
      </w:pPr>
      <w:r>
        <w:rPr>
          <w:sz w:val="24"/>
        </w:rPr>
        <w:t xml:space="preserve">дату постановки на учет в налоговом органе (для индивидуальных предпринимателей);</w:t>
      </w:r>
    </w:p>
    <w:p>
      <w:pPr>
        <w:pStyle w:val="0"/>
        <w:spacing w:before="240" w:lineRule="auto"/>
        <w:ind w:firstLine="540"/>
        <w:jc w:val="both"/>
      </w:pPr>
      <w:r>
        <w:rPr>
          <w:sz w:val="24"/>
        </w:rPr>
        <w:t xml:space="preserve">дату и код причины постановки на учет в налоговом органе (для юридических лиц);</w:t>
      </w:r>
    </w:p>
    <w:p>
      <w:pPr>
        <w:pStyle w:val="0"/>
        <w:spacing w:before="240" w:lineRule="auto"/>
        <w:ind w:firstLine="540"/>
        <w:jc w:val="both"/>
      </w:pPr>
      <w:r>
        <w:rPr>
          <w:sz w:val="24"/>
        </w:rPr>
        <w:t xml:space="preserve">дату государственной регистрации физического лица в качестве индивидуального предпринимателя;</w:t>
      </w:r>
    </w:p>
    <w:p>
      <w:pPr>
        <w:pStyle w:val="0"/>
        <w:spacing w:before="240" w:lineRule="auto"/>
        <w:ind w:firstLine="540"/>
        <w:jc w:val="both"/>
      </w:pPr>
      <w:r>
        <w:rPr>
          <w:sz w:val="24"/>
        </w:rPr>
        <w:t xml:space="preserve">дату и место рождения (для индивидуальных предпринимателей);</w:t>
      </w:r>
    </w:p>
    <w:p>
      <w:pPr>
        <w:pStyle w:val="0"/>
        <w:spacing w:before="240" w:lineRule="auto"/>
        <w:ind w:firstLine="540"/>
        <w:jc w:val="both"/>
      </w:pPr>
      <w:r>
        <w:rPr>
          <w:sz w:val="24"/>
        </w:rPr>
        <w:t xml:space="preserve">страховой номер индивидуального лицевого счета (для индивидуальных предпринимателей);</w:t>
      </w:r>
    </w:p>
    <w:p>
      <w:pPr>
        <w:pStyle w:val="0"/>
        <w:spacing w:before="240" w:lineRule="auto"/>
        <w:ind w:firstLine="540"/>
        <w:jc w:val="both"/>
      </w:pPr>
      <w:r>
        <w:rPr>
          <w:sz w:val="24"/>
        </w:rPr>
        <w:t xml:space="preserve">адрес юридического лица, адрес регистрации (для индивидуальных предпринимателей);</w:t>
      </w:r>
    </w:p>
    <w:p>
      <w:pPr>
        <w:pStyle w:val="0"/>
        <w:spacing w:before="240" w:lineRule="auto"/>
        <w:ind w:firstLine="540"/>
        <w:jc w:val="both"/>
      </w:pPr>
      <w:r>
        <w:rPr>
          <w:sz w:val="24"/>
        </w:rPr>
        <w:t xml:space="preserve">номер контактного телефона, почтовый адрес и адрес электронной почты для направления юридически значимых сообщений;</w:t>
      </w:r>
    </w:p>
    <w:p>
      <w:pPr>
        <w:pStyle w:val="0"/>
        <w:spacing w:before="240" w:lineRule="auto"/>
        <w:ind w:firstLine="540"/>
        <w:jc w:val="both"/>
      </w:pPr>
      <w:r>
        <w:rPr>
          <w:sz w:val="24"/>
        </w:rPr>
        <w:t xml:space="preserve">фамилию, имя, отчество (последнее - при наличии) и идентификационный номер налогоплательщика главного бухгалтера (при наличии), фамилии, имена, отчества (последнее - при наличии) учредителей, членов коллегиального исполнительного органа, лица, исполняющего функции единоличного исполнительного органа (юридических лиц);</w:t>
      </w:r>
    </w:p>
    <w:p>
      <w:pPr>
        <w:pStyle w:val="0"/>
        <w:spacing w:before="240" w:lineRule="auto"/>
        <w:ind w:firstLine="540"/>
        <w:jc w:val="both"/>
      </w:pPr>
      <w:r>
        <w:rPr>
          <w:sz w:val="24"/>
        </w:rPr>
        <w:t xml:space="preserve">информацию о руководителе юридического лица (фамилию, имя, отчество (последнее - при наличии), идентификационный номер налогоплательщика, должность);</w:t>
      </w:r>
    </w:p>
    <w:p>
      <w:pPr>
        <w:pStyle w:val="0"/>
        <w:spacing w:before="240" w:lineRule="auto"/>
        <w:ind w:firstLine="540"/>
        <w:jc w:val="both"/>
      </w:pPr>
      <w:r>
        <w:rPr>
          <w:sz w:val="24"/>
        </w:rPr>
        <w:t xml:space="preserve">перечень основных и дополнительных видов деятельности, которые претендент вправе осуществлять в соответствии с учредительными документами юридического лица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pPr>
        <w:pStyle w:val="0"/>
        <w:spacing w:before="240" w:lineRule="auto"/>
        <w:ind w:firstLine="540"/>
        <w:jc w:val="both"/>
      </w:pPr>
      <w:r>
        <w:rPr>
          <w:sz w:val="24"/>
        </w:rPr>
        <w:t xml:space="preserve">информацию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pPr>
        <w:pStyle w:val="0"/>
        <w:spacing w:before="240" w:lineRule="auto"/>
        <w:ind w:firstLine="540"/>
        <w:jc w:val="both"/>
      </w:pPr>
      <w:r>
        <w:rPr>
          <w:sz w:val="24"/>
        </w:rPr>
        <w:t xml:space="preserve">б) подаваемое посредством заполнения соответствующих экранных форм веб-интерфейса системы "Электронный бюджет" подтверждение согласия на публикацию (размещение) в сети "Интернет" информации о претенденте, подаваемой претендентом заявке, а также иной информации о претенденте, связанной с конкурсным отбором и результатом предоставления субсидии;</w:t>
      </w:r>
    </w:p>
    <w:p>
      <w:pPr>
        <w:pStyle w:val="0"/>
        <w:spacing w:before="240" w:lineRule="auto"/>
        <w:ind w:firstLine="540"/>
        <w:jc w:val="both"/>
      </w:pPr>
      <w:r>
        <w:rPr>
          <w:sz w:val="24"/>
        </w:rPr>
        <w:t xml:space="preserve">в) запрашиваемый претендентом размер субсидии.</w:t>
      </w:r>
    </w:p>
    <w:p>
      <w:pPr>
        <w:pStyle w:val="0"/>
        <w:spacing w:before="240" w:lineRule="auto"/>
        <w:ind w:firstLine="540"/>
        <w:jc w:val="both"/>
      </w:pPr>
      <w:r>
        <w:rPr>
          <w:sz w:val="24"/>
        </w:rPr>
        <w:t xml:space="preserve">Датой и временем представления претендентом заявки считаются дата и время подписания претендентом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Внесение претендентом изменений в заявку возможно до дня окончания приема заявок после формирования претендентом в электронной форме уведомления об отзыве заявки и последующего формирования новой заявки.</w:t>
      </w:r>
    </w:p>
    <w:p>
      <w:pPr>
        <w:pStyle w:val="0"/>
        <w:spacing w:before="240" w:lineRule="auto"/>
        <w:ind w:firstLine="540"/>
        <w:jc w:val="both"/>
      </w:pPr>
      <w:r>
        <w:rPr>
          <w:sz w:val="24"/>
        </w:rPr>
        <w:t xml:space="preserve">Претендент вправе отозвать заявку не позднее дня окончания приема заявок, указанного в объявлении о проведении конкурсного отбора.</w:t>
      </w:r>
    </w:p>
    <w:p>
      <w:pPr>
        <w:pStyle w:val="0"/>
        <w:spacing w:before="240" w:lineRule="auto"/>
        <w:ind w:firstLine="540"/>
        <w:jc w:val="both"/>
      </w:pPr>
      <w:r>
        <w:rPr>
          <w:sz w:val="24"/>
        </w:rPr>
        <w:t xml:space="preserve">В случае отзыва заявки претендент вправе подать ее повторно не позднее дня окончания приема заявок, указанного в объявлении о проведении конкурсного отбора, в порядке, аналогичном порядку формирования заявки претендентом, указанному в </w:t>
      </w:r>
      <w:hyperlink w:history="0" w:anchor="P157" w:tooltip="3.2. Заявка подается в соответствии с требованиями и в сроки, которые указаны в объявлении о проведении конкурсного отбора согласно пункту 3.1 настоящих Правил.">
        <w:r>
          <w:rPr>
            <w:sz w:val="24"/>
            <w:color w:val="0000ff"/>
          </w:rPr>
          <w:t xml:space="preserve">пункте 3.2</w:t>
        </w:r>
      </w:hyperlink>
      <w:r>
        <w:rPr>
          <w:sz w:val="24"/>
        </w:rPr>
        <w:t xml:space="preserve"> настоящих Правил.</w:t>
      </w:r>
    </w:p>
    <w:bookmarkStart w:id="206" w:name="P206"/>
    <w:bookmarkEnd w:id="206"/>
    <w:p>
      <w:pPr>
        <w:pStyle w:val="0"/>
        <w:spacing w:before="240" w:lineRule="auto"/>
        <w:ind w:firstLine="540"/>
        <w:jc w:val="both"/>
      </w:pPr>
      <w:r>
        <w:rPr>
          <w:sz w:val="24"/>
        </w:rPr>
        <w:t xml:space="preserve">Любой претендент со дня размещения объявления о проведении конкурсного отбора на едином портале не позднее чем за три рабочих дня до дня окончания приема заявок вправе направить в Минпромэнерго Чувашии не более пяти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bookmarkStart w:id="207" w:name="P207"/>
    <w:bookmarkEnd w:id="207"/>
    <w:p>
      <w:pPr>
        <w:pStyle w:val="0"/>
        <w:spacing w:before="240" w:lineRule="auto"/>
        <w:ind w:firstLine="540"/>
        <w:jc w:val="both"/>
      </w:pPr>
      <w:r>
        <w:rPr>
          <w:sz w:val="24"/>
        </w:rPr>
        <w:t xml:space="preserve">Минпромэнерго Чувашии в ответ на запрос, указанный в </w:t>
      </w:r>
      <w:hyperlink w:history="0" w:anchor="P206" w:tooltip="Любой претендент со дня размещения объявления о проведении конкурсного отбора на едином портале не позднее чем за три рабочих дня до дня окончания приема заявок вправе направить в Минпромэнерго Чувашии не более пяти запросов о разъяснении положений объявления о проведении конкурсного отбора путем формирования в системе &quot;Электронный бюджет&quot; соответствующего запроса.">
        <w:r>
          <w:rPr>
            <w:sz w:val="24"/>
            <w:color w:val="0000ff"/>
          </w:rPr>
          <w:t xml:space="preserve">абзаце двадцать четвертом</w:t>
        </w:r>
      </w:hyperlink>
      <w:r>
        <w:rPr>
          <w:sz w:val="24"/>
        </w:rPr>
        <w:t xml:space="preserve"> настоящего пункта, направляет разъяснение положений объявления о проведении конкурсного отбора в срок, установленный в указанном объявлении, но не позднее одного рабочего дня до дня окончания приема заявок путем формирования в системе "Электронный бюджет" соответствующего разъяснения. Представленное Минпромэнерго Чувашии разъяснение положений объявления о проведении конкурсного отбора не должно изменять суть информации, содержащейся в указанном объявлении.</w:t>
      </w:r>
    </w:p>
    <w:p>
      <w:pPr>
        <w:pStyle w:val="0"/>
        <w:spacing w:before="240" w:lineRule="auto"/>
        <w:ind w:firstLine="540"/>
        <w:jc w:val="both"/>
      </w:pPr>
      <w:r>
        <w:rPr>
          <w:sz w:val="24"/>
        </w:rPr>
        <w:t xml:space="preserve">Доступ к разъяснению, формируемому в системе "Электронный бюджет" в соответствии с </w:t>
      </w:r>
      <w:hyperlink w:history="0" w:anchor="P207" w:tooltip="Минпромэнерго Чувашии в ответ на запрос, указанный в абзаце двадцать четвертом настоящего пункта, направляет разъяснение положений объявления о проведении конкурсного отбора в срок, установленный в указанном объявлении, но не позднее одного рабочего дня до дня окончания приема заявок путем формирования в системе &quot;Электронный бюджет&quot; соответствующего разъяснения. Представленное Минпромэнерго Чувашии разъяснение положений объявления о проведении конкурсного отбора не должно изменять суть информации, содерж...">
        <w:r>
          <w:rPr>
            <w:sz w:val="24"/>
            <w:color w:val="0000ff"/>
          </w:rPr>
          <w:t xml:space="preserve">абзацем двадцать пятым</w:t>
        </w:r>
      </w:hyperlink>
      <w:r>
        <w:rPr>
          <w:sz w:val="24"/>
        </w:rPr>
        <w:t xml:space="preserve"> настоящего пункта, предоставляется всем претендентам.</w:t>
      </w:r>
    </w:p>
    <w:p>
      <w:pPr>
        <w:pStyle w:val="0"/>
        <w:spacing w:before="240" w:lineRule="auto"/>
        <w:ind w:firstLine="540"/>
        <w:jc w:val="both"/>
      </w:pPr>
      <w:r>
        <w:rPr>
          <w:sz w:val="24"/>
        </w:rPr>
        <w:t xml:space="preserve">3.5. Не позднее одного рабочего дня, следующего за днем окончания приема заявок, установленного в объявлении о проведении конкурсного отбора, в системе "Электронный бюджет" открывается доступ Минпромэнерго Чувашии к поданным претендентами заявкам для их рассмотрения.</w:t>
      </w:r>
    </w:p>
    <w:p>
      <w:pPr>
        <w:pStyle w:val="0"/>
        <w:spacing w:before="240" w:lineRule="auto"/>
        <w:ind w:firstLine="540"/>
        <w:jc w:val="both"/>
      </w:pPr>
      <w:r>
        <w:rPr>
          <w:sz w:val="24"/>
        </w:rPr>
        <w:t xml:space="preserve">Минпромэнерго Чувашии не позднее одного рабочего дня, следующего за днем вскрытия заявок, установленным в объявлении о проведении конкурсного отбора, подписывает протокол вскрытия заявок, содержащий следующую информацию о поступивших для участия в конкурсном отборе заявках:</w:t>
      </w:r>
    </w:p>
    <w:p>
      <w:pPr>
        <w:pStyle w:val="0"/>
        <w:spacing w:before="240" w:lineRule="auto"/>
        <w:ind w:firstLine="540"/>
        <w:jc w:val="both"/>
      </w:pPr>
      <w:r>
        <w:rPr>
          <w:sz w:val="24"/>
        </w:rPr>
        <w:t xml:space="preserve">регистрационный номер заявки;</w:t>
      </w:r>
    </w:p>
    <w:p>
      <w:pPr>
        <w:pStyle w:val="0"/>
        <w:spacing w:before="240" w:lineRule="auto"/>
        <w:ind w:firstLine="540"/>
        <w:jc w:val="both"/>
      </w:pPr>
      <w:r>
        <w:rPr>
          <w:sz w:val="24"/>
        </w:rPr>
        <w:t xml:space="preserve">дату и время поступления заявки;</w:t>
      </w:r>
    </w:p>
    <w:p>
      <w:pPr>
        <w:pStyle w:val="0"/>
        <w:spacing w:before="240" w:lineRule="auto"/>
        <w:ind w:firstLine="540"/>
        <w:jc w:val="both"/>
      </w:pPr>
      <w:r>
        <w:rPr>
          <w:sz w:val="24"/>
        </w:rPr>
        <w:t xml:space="preserve">полное наименование юридического лица (фамилию, имя, отчество (последнее - при наличии) индивидуального предпринимателя);</w:t>
      </w:r>
    </w:p>
    <w:p>
      <w:pPr>
        <w:pStyle w:val="0"/>
        <w:spacing w:before="240" w:lineRule="auto"/>
        <w:ind w:firstLine="540"/>
        <w:jc w:val="both"/>
      </w:pPr>
      <w:r>
        <w:rPr>
          <w:sz w:val="24"/>
        </w:rPr>
        <w:t xml:space="preserve">адрес юридического лица;</w:t>
      </w:r>
    </w:p>
    <w:p>
      <w:pPr>
        <w:pStyle w:val="0"/>
        <w:spacing w:before="240" w:lineRule="auto"/>
        <w:ind w:firstLine="540"/>
        <w:jc w:val="both"/>
      </w:pPr>
      <w:r>
        <w:rPr>
          <w:sz w:val="24"/>
        </w:rPr>
        <w:t xml:space="preserve">запрашиваемый претендентом размер субсидии.</w:t>
      </w:r>
    </w:p>
    <w:p>
      <w:pPr>
        <w:pStyle w:val="0"/>
        <w:spacing w:before="240" w:lineRule="auto"/>
        <w:ind w:firstLine="540"/>
        <w:jc w:val="both"/>
      </w:pPr>
      <w:r>
        <w:rPr>
          <w:sz w:val="24"/>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и официальном сайте Минпромэнерго Чувашии не позднее одного рабочего дня, следующего за днем его подписания.</w:t>
      </w:r>
    </w:p>
    <w:p>
      <w:pPr>
        <w:pStyle w:val="0"/>
        <w:jc w:val="both"/>
      </w:pPr>
      <w:r>
        <w:rPr>
          <w:sz w:val="24"/>
        </w:rPr>
      </w:r>
    </w:p>
    <w:p>
      <w:pPr>
        <w:pStyle w:val="2"/>
        <w:outlineLvl w:val="1"/>
        <w:jc w:val="center"/>
      </w:pPr>
      <w:r>
        <w:rPr>
          <w:sz w:val="24"/>
        </w:rPr>
        <w:t xml:space="preserve">IV. Проведение конкурсного отбора</w:t>
      </w:r>
    </w:p>
    <w:p>
      <w:pPr>
        <w:pStyle w:val="0"/>
        <w:jc w:val="both"/>
      </w:pPr>
      <w:r>
        <w:rPr>
          <w:sz w:val="24"/>
        </w:rPr>
      </w:r>
    </w:p>
    <w:bookmarkStart w:id="220" w:name="P220"/>
    <w:bookmarkEnd w:id="220"/>
    <w:p>
      <w:pPr>
        <w:pStyle w:val="0"/>
        <w:ind w:firstLine="540"/>
        <w:jc w:val="both"/>
      </w:pPr>
      <w:r>
        <w:rPr>
          <w:sz w:val="24"/>
        </w:rPr>
        <w:t xml:space="preserve">4.1. Конкурсный отбор проводится в два этапа.</w:t>
      </w:r>
    </w:p>
    <w:p>
      <w:pPr>
        <w:pStyle w:val="0"/>
        <w:spacing w:before="240" w:lineRule="auto"/>
        <w:ind w:firstLine="540"/>
        <w:jc w:val="both"/>
      </w:pPr>
      <w:r>
        <w:rPr>
          <w:sz w:val="24"/>
        </w:rPr>
        <w:t xml:space="preserve">На первом этапе конкурсного отбора рассмотрение заявок осуществляется Минпромэнерго Чувашии.</w:t>
      </w:r>
    </w:p>
    <w:p>
      <w:pPr>
        <w:pStyle w:val="0"/>
        <w:spacing w:before="240" w:lineRule="auto"/>
        <w:ind w:firstLine="540"/>
        <w:jc w:val="both"/>
      </w:pPr>
      <w:r>
        <w:rPr>
          <w:sz w:val="24"/>
        </w:rPr>
        <w:t xml:space="preserve">В Минпромэнерго Чувашии создается рабочая группа, которая в течение 25 календарных дней со дня окончания приема заявок, указанного в объявлении о проведении конкурсного отбора:</w:t>
      </w:r>
    </w:p>
    <w:p>
      <w:pPr>
        <w:pStyle w:val="0"/>
        <w:spacing w:before="240" w:lineRule="auto"/>
        <w:ind w:firstLine="540"/>
        <w:jc w:val="both"/>
      </w:pPr>
      <w:r>
        <w:rPr>
          <w:sz w:val="24"/>
        </w:rPr>
        <w:t xml:space="preserve">рассматривает заявки на предмет их соответствия установленным в объявлении о проведении конкурсного отбора требованиям и категориям получателей субсидий;</w:t>
      </w:r>
    </w:p>
    <w:p>
      <w:pPr>
        <w:pStyle w:val="0"/>
        <w:spacing w:before="240" w:lineRule="auto"/>
        <w:ind w:firstLine="540"/>
        <w:jc w:val="both"/>
      </w:pPr>
      <w:r>
        <w:rPr>
          <w:sz w:val="24"/>
        </w:rPr>
        <w:t xml:space="preserve">выезжает на место осуществления деятельности претендентов с целью проверки достоверности представленных документов, фактического наличия приобретенного оборудования, факта ввода его в эксплуатацию (далее - визуальный осмотр). По результатам визуального осмотра рабочей группой составляются акты визуального осмотра, которые подписываются членами рабочей группы, участвующими в выезде, и претендентами;</w:t>
      </w:r>
    </w:p>
    <w:p>
      <w:pPr>
        <w:pStyle w:val="0"/>
        <w:spacing w:before="240" w:lineRule="auto"/>
        <w:ind w:firstLine="540"/>
        <w:jc w:val="both"/>
      </w:pPr>
      <w:r>
        <w:rPr>
          <w:sz w:val="24"/>
        </w:rPr>
        <w:t xml:space="preserve">по итогам проверки заявок и проведения визуального осмотра готовит заключение о результатах проведенной проверки, которое подписывается всеми членами рабочей группы;</w:t>
      </w:r>
    </w:p>
    <w:p>
      <w:pPr>
        <w:pStyle w:val="0"/>
        <w:spacing w:before="240" w:lineRule="auto"/>
        <w:ind w:firstLine="540"/>
        <w:jc w:val="both"/>
      </w:pPr>
      <w:r>
        <w:rPr>
          <w:sz w:val="24"/>
        </w:rPr>
        <w:t xml:space="preserve">принимает решение о признании заявки надлежащей или об отклонении заявки;</w:t>
      </w:r>
    </w:p>
    <w:p>
      <w:pPr>
        <w:pStyle w:val="0"/>
        <w:spacing w:before="240" w:lineRule="auto"/>
        <w:ind w:firstLine="540"/>
        <w:jc w:val="both"/>
      </w:pPr>
      <w:r>
        <w:rPr>
          <w:sz w:val="24"/>
        </w:rPr>
        <w:t xml:space="preserve">принимает решение о возврате заявки на доработку.</w:t>
      </w:r>
    </w:p>
    <w:p>
      <w:pPr>
        <w:pStyle w:val="0"/>
        <w:spacing w:before="240" w:lineRule="auto"/>
        <w:ind w:firstLine="540"/>
        <w:jc w:val="both"/>
      </w:pPr>
      <w:r>
        <w:rPr>
          <w:sz w:val="24"/>
        </w:rPr>
        <w:t xml:space="preserve">Внесение изменений в заявку на первом этапе конкурсного отбора возможно в случае возврата заявки рабочей группой на доработку. Рабочая группа возвращает заявку на доработку не позднее следующего рабочего дня после дня окончания проверки заявки в случае наличия оснований, указанных в </w:t>
      </w:r>
      <w:hyperlink w:history="0" w:anchor="P231" w:tooltip="абзац утратил силу. - Постановление Кабинета Министров ЧР от 10.06.2026 N 379;">
        <w:r>
          <w:rPr>
            <w:sz w:val="24"/>
            <w:color w:val="0000ff"/>
          </w:rPr>
          <w:t xml:space="preserve">абзацах двенадцатом</w:t>
        </w:r>
      </w:hyperlink>
      <w:r>
        <w:rPr>
          <w:sz w:val="24"/>
        </w:rPr>
        <w:t xml:space="preserve"> и (или) </w:t>
      </w:r>
      <w:hyperlink w:history="0" w:anchor="P232" w:tooltip="несоответствие друг другу сведений, указанных в представленных в составе заявки документах, наличие противоречий между сведениями, указанными в представленных в составе заявки документах, наличие технических ошибок (описок, опечаток, арифметических ошибок).">
        <w:r>
          <w:rPr>
            <w:sz w:val="24"/>
            <w:color w:val="0000ff"/>
          </w:rPr>
          <w:t xml:space="preserve">тринадцатом</w:t>
        </w:r>
      </w:hyperlink>
      <w:r>
        <w:rPr>
          <w:sz w:val="24"/>
        </w:rPr>
        <w:t xml:space="preserve"> настоящего пункта.</w:t>
      </w:r>
    </w:p>
    <w:p>
      <w:pPr>
        <w:pStyle w:val="0"/>
        <w:spacing w:before="240" w:lineRule="auto"/>
        <w:ind w:firstLine="540"/>
        <w:jc w:val="both"/>
      </w:pPr>
      <w:r>
        <w:rPr>
          <w:sz w:val="24"/>
        </w:rPr>
        <w:t xml:space="preserve">Участник отбора должен направить скорректированную заявку не позднее второго рабочего дня после дня возврата ее на доработку.</w:t>
      </w:r>
    </w:p>
    <w:p>
      <w:pPr>
        <w:pStyle w:val="0"/>
        <w:spacing w:before="240" w:lineRule="auto"/>
        <w:ind w:firstLine="540"/>
        <w:jc w:val="both"/>
      </w:pPr>
      <w:r>
        <w:rPr>
          <w:sz w:val="24"/>
        </w:rPr>
        <w:t xml:space="preserve">На стадии рассмотрения заявки основаниями для ее возврата на доработку являются:</w:t>
      </w:r>
    </w:p>
    <w:bookmarkStart w:id="231" w:name="P231"/>
    <w:bookmarkEnd w:id="231"/>
    <w:p>
      <w:pPr>
        <w:pStyle w:val="0"/>
        <w:spacing w:before="240" w:lineRule="auto"/>
        <w:ind w:firstLine="540"/>
        <w:jc w:val="both"/>
      </w:pPr>
      <w:r>
        <w:rPr>
          <w:sz w:val="24"/>
        </w:rPr>
        <w:t xml:space="preserve">абзац утратил силу. - </w:t>
      </w:r>
      <w:hyperlink w:history="0" r:id="rId50"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Постановление</w:t>
        </w:r>
      </w:hyperlink>
      <w:r>
        <w:rPr>
          <w:sz w:val="24"/>
        </w:rPr>
        <w:t xml:space="preserve"> Кабинета Министров ЧР от 10.06.2026 N 379;</w:t>
      </w:r>
    </w:p>
    <w:bookmarkStart w:id="232" w:name="P232"/>
    <w:bookmarkEnd w:id="232"/>
    <w:p>
      <w:pPr>
        <w:pStyle w:val="0"/>
        <w:spacing w:before="240" w:lineRule="auto"/>
        <w:ind w:firstLine="540"/>
        <w:jc w:val="both"/>
      </w:pPr>
      <w:r>
        <w:rPr>
          <w:sz w:val="24"/>
        </w:rPr>
        <w:t xml:space="preserve">несоответствие друг другу сведений, указанных в представленных в составе заявки документах, наличие противоречий между сведениями, указанными в представленных в составе заявки документах, наличие технических ошибок (описок, опечаток, арифметических ошибок).</w:t>
      </w:r>
    </w:p>
    <w:p>
      <w:pPr>
        <w:pStyle w:val="0"/>
        <w:jc w:val="both"/>
      </w:pPr>
      <w:r>
        <w:rPr>
          <w:sz w:val="24"/>
        </w:rPr>
        <w:t xml:space="preserve">(в ред. </w:t>
      </w:r>
      <w:hyperlink w:history="0" r:id="rId51"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Рабочая группа в течение одного рабочего дня со дня, следующего за днем представления участником конкурсного отбора скорректированной заявки, рассматривает ее и прилагаемые к ней документы на предмет их соответствия установленным в объявлении о проведении конкурсного отбора требованиям и категориям получателей субсидий.</w:t>
      </w:r>
    </w:p>
    <w:bookmarkStart w:id="235" w:name="P235"/>
    <w:bookmarkEnd w:id="235"/>
    <w:p>
      <w:pPr>
        <w:pStyle w:val="0"/>
        <w:spacing w:before="240" w:lineRule="auto"/>
        <w:ind w:firstLine="540"/>
        <w:jc w:val="both"/>
      </w:pPr>
      <w:r>
        <w:rPr>
          <w:sz w:val="24"/>
        </w:rPr>
        <w:t xml:space="preserve">4.2. Заявка претендента признается надлежащей, если она соответствует требованиям, установленным настоящими Правилами, и отсутствуют основания для отклонения заявки.</w:t>
      </w:r>
    </w:p>
    <w:p>
      <w:pPr>
        <w:pStyle w:val="0"/>
        <w:spacing w:before="240" w:lineRule="auto"/>
        <w:ind w:firstLine="540"/>
        <w:jc w:val="both"/>
      </w:pPr>
      <w:r>
        <w:rPr>
          <w:sz w:val="24"/>
        </w:rPr>
        <w:t xml:space="preserve">Заявка отклоняется в случае наличия оснований для отклонения заявки, предусмотренных </w:t>
      </w:r>
      <w:hyperlink w:history="0" w:anchor="P237" w:tooltip="4.3. Основаниями для отклонения заявки являются:">
        <w:r>
          <w:rPr>
            <w:sz w:val="24"/>
            <w:color w:val="0000ff"/>
          </w:rPr>
          <w:t xml:space="preserve">пунктом 4.3</w:t>
        </w:r>
      </w:hyperlink>
      <w:r>
        <w:rPr>
          <w:sz w:val="24"/>
        </w:rPr>
        <w:t xml:space="preserve"> настоящих Правил.</w:t>
      </w:r>
    </w:p>
    <w:bookmarkStart w:id="237" w:name="P237"/>
    <w:bookmarkEnd w:id="237"/>
    <w:p>
      <w:pPr>
        <w:pStyle w:val="0"/>
        <w:spacing w:before="240" w:lineRule="auto"/>
        <w:ind w:firstLine="540"/>
        <w:jc w:val="both"/>
      </w:pPr>
      <w:r>
        <w:rPr>
          <w:sz w:val="24"/>
        </w:rPr>
        <w:t xml:space="preserve">4.3. Основаниями для отклонения заявки являются:</w:t>
      </w:r>
    </w:p>
    <w:p>
      <w:pPr>
        <w:pStyle w:val="0"/>
        <w:spacing w:before="240" w:lineRule="auto"/>
        <w:ind w:firstLine="540"/>
        <w:jc w:val="both"/>
      </w:pPr>
      <w:r>
        <w:rPr>
          <w:sz w:val="24"/>
        </w:rPr>
        <w:t xml:space="preserve">несоблюдение претендентом условий предоставления субсидии, установленных </w:t>
      </w:r>
      <w:hyperlink w:history="0" w:anchor="P95" w:tooltip="2.3. Условиями предоставления субсидии являются:">
        <w:r>
          <w:rPr>
            <w:sz w:val="24"/>
            <w:color w:val="0000ff"/>
          </w:rPr>
          <w:t xml:space="preserve">пунктом 2.3</w:t>
        </w:r>
      </w:hyperlink>
      <w:r>
        <w:rPr>
          <w:sz w:val="24"/>
        </w:rPr>
        <w:t xml:space="preserve"> настоящих Правил;</w:t>
      </w:r>
    </w:p>
    <w:p>
      <w:pPr>
        <w:pStyle w:val="0"/>
        <w:spacing w:before="240" w:lineRule="auto"/>
        <w:ind w:firstLine="540"/>
        <w:jc w:val="both"/>
      </w:pPr>
      <w:r>
        <w:rPr>
          <w:sz w:val="24"/>
        </w:rPr>
        <w:t xml:space="preserve">несоответствие претендента требованиям, указанным в </w:t>
      </w:r>
      <w:hyperlink w:history="0" w:anchor="P115" w:tooltip="2.5. Претендент на первое число месяца, в котором Минпромэнерго Чувашии начинает осуществлять прием заявок в соответствии с пунктом 3.2 настоящих Правил, должен соответствовать следующим требованиям:">
        <w:r>
          <w:rPr>
            <w:sz w:val="24"/>
            <w:color w:val="0000ff"/>
          </w:rPr>
          <w:t xml:space="preserve">пунктах 2.5</w:t>
        </w:r>
      </w:hyperlink>
      <w:r>
        <w:rPr>
          <w:sz w:val="24"/>
        </w:rPr>
        <w:t xml:space="preserve"> и (или) </w:t>
      </w:r>
      <w:hyperlink w:history="0" w:anchor="P124" w:tooltip="2.6. 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по состоянию на дату не ранее чем за 15 рабочих дней до дня подачи заявки (в случае если претендентом по собственной инициативе представлена справка о наличии на дату формирования справки положительного, отрицательного или нулевого сальдо едино...">
        <w:r>
          <w:rPr>
            <w:sz w:val="24"/>
            <w:color w:val="0000ff"/>
          </w:rPr>
          <w:t xml:space="preserve">2.6</w:t>
        </w:r>
      </w:hyperlink>
      <w:r>
        <w:rPr>
          <w:sz w:val="24"/>
        </w:rPr>
        <w:t xml:space="preserve"> настоящих Правил;</w:t>
      </w:r>
    </w:p>
    <w:p>
      <w:pPr>
        <w:pStyle w:val="0"/>
        <w:spacing w:before="240" w:lineRule="auto"/>
        <w:ind w:firstLine="540"/>
        <w:jc w:val="both"/>
      </w:pPr>
      <w:r>
        <w:rPr>
          <w:sz w:val="24"/>
        </w:rPr>
        <w:t xml:space="preserve">непредставление (представление не в полном объеме) документов, предусмотренных </w:t>
      </w:r>
      <w:hyperlink w:history="0" w:anchor="P159" w:tooltip="заявления на предоставление субсидии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о форме согласно приложению N 1 к настоящим Правилам;">
        <w:r>
          <w:rPr>
            <w:sz w:val="24"/>
            <w:color w:val="0000ff"/>
          </w:rPr>
          <w:t xml:space="preserve">абзацами третьим</w:t>
        </w:r>
      </w:hyperlink>
      <w:r>
        <w:rPr>
          <w:sz w:val="24"/>
        </w:rPr>
        <w:t xml:space="preserve"> - </w:t>
      </w:r>
      <w:hyperlink w:history="0" w:anchor="P175" w:tooltip="фотографий приобретенного нового технологического оборудования, которые должны:">
        <w:r>
          <w:rPr>
            <w:sz w:val="24"/>
            <w:color w:val="0000ff"/>
          </w:rPr>
          <w:t xml:space="preserve">семнадцатым пункта 3.2</w:t>
        </w:r>
      </w:hyperlink>
      <w:r>
        <w:rPr>
          <w:sz w:val="24"/>
        </w:rPr>
        <w:t xml:space="preserve"> настоящих Правил;</w:t>
      </w:r>
    </w:p>
    <w:p>
      <w:pPr>
        <w:pStyle w:val="0"/>
        <w:spacing w:before="240" w:lineRule="auto"/>
        <w:ind w:firstLine="540"/>
        <w:jc w:val="both"/>
      </w:pPr>
      <w:r>
        <w:rPr>
          <w:sz w:val="24"/>
        </w:rPr>
        <w:t xml:space="preserve">несоответствие представленной претендентом заявки и документов требованиям, предусмотренным объявлением о проведении конкурсного отбора;</w:t>
      </w:r>
    </w:p>
    <w:p>
      <w:pPr>
        <w:pStyle w:val="0"/>
        <w:spacing w:before="240" w:lineRule="auto"/>
        <w:ind w:firstLine="540"/>
        <w:jc w:val="both"/>
      </w:pPr>
      <w:r>
        <w:rPr>
          <w:sz w:val="24"/>
        </w:rPr>
        <w:t xml:space="preserve">недостоверность информации, содержащейся в документах, представленных в составе заявки;</w:t>
      </w:r>
    </w:p>
    <w:p>
      <w:pPr>
        <w:pStyle w:val="0"/>
        <w:spacing w:before="240" w:lineRule="auto"/>
        <w:ind w:firstLine="540"/>
        <w:jc w:val="both"/>
      </w:pPr>
      <w:r>
        <w:rPr>
          <w:sz w:val="24"/>
        </w:rPr>
        <w:t xml:space="preserve">подача претендентом заявки после даты и (или) времени окончания приема заявок, указанных в объявлении о проведении конкурсного отбора.</w:t>
      </w:r>
    </w:p>
    <w:p>
      <w:pPr>
        <w:pStyle w:val="0"/>
        <w:spacing w:before="240" w:lineRule="auto"/>
        <w:ind w:firstLine="540"/>
        <w:jc w:val="both"/>
      </w:pPr>
      <w:r>
        <w:rPr>
          <w:sz w:val="24"/>
        </w:rPr>
        <w:t xml:space="preserve">По результатам рассмотрения заявок не позднее одного рабочего дня со дня окончания срока рассмотрения заявок Минпромэнерго Чувашии подготавливает протокол рассмотрения заявок, включающий информацию о количестве поступивших и рассмотренных заявок, а также информацию по каждому претенденту о признании его заявки надлежащей или об отклонении его заявки с указанием оснований для отклонения (далее - протокол рассмотрения заявок).</w:t>
      </w:r>
    </w:p>
    <w:p>
      <w:pPr>
        <w:pStyle w:val="0"/>
        <w:spacing w:before="240" w:lineRule="auto"/>
        <w:ind w:firstLine="540"/>
        <w:jc w:val="both"/>
      </w:pPr>
      <w:r>
        <w:rPr>
          <w:sz w:val="24"/>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официальном сайте Минпромэнерго Чувашии не позднее одного рабочего дня, следующего за днем его подписания.</w:t>
      </w:r>
    </w:p>
    <w:p>
      <w:pPr>
        <w:pStyle w:val="0"/>
        <w:spacing w:before="240" w:lineRule="auto"/>
        <w:ind w:firstLine="540"/>
        <w:jc w:val="both"/>
      </w:pPr>
      <w:r>
        <w:rPr>
          <w:sz w:val="24"/>
        </w:rPr>
        <w:t xml:space="preserve">4.4. На втором этапе конкурсного отбора рассмотрение и оценку заявок осуществляет Комиссия.</w:t>
      </w:r>
    </w:p>
    <w:p>
      <w:pPr>
        <w:pStyle w:val="0"/>
        <w:spacing w:before="240" w:lineRule="auto"/>
        <w:ind w:firstLine="540"/>
        <w:jc w:val="both"/>
      </w:pPr>
      <w:r>
        <w:rPr>
          <w:sz w:val="24"/>
        </w:rPr>
        <w:t xml:space="preserve">Не позднее одного рабочего дня, следующего за днем подписания протокола рассмотрения заявок в соответствии с </w:t>
      </w:r>
      <w:hyperlink w:history="0" w:anchor="P237" w:tooltip="4.3. Основаниями для отклонения заявки являются:">
        <w:r>
          <w:rPr>
            <w:sz w:val="24"/>
            <w:color w:val="0000ff"/>
          </w:rPr>
          <w:t xml:space="preserve">пунктом 4.3</w:t>
        </w:r>
      </w:hyperlink>
      <w:r>
        <w:rPr>
          <w:sz w:val="24"/>
        </w:rPr>
        <w:t xml:space="preserve"> настоящих Правил, членам Комиссии открывается доступ к поданным в системе "Электронный бюджет" заявкам для их рассмотрения и оценки.</w:t>
      </w:r>
    </w:p>
    <w:p>
      <w:pPr>
        <w:pStyle w:val="0"/>
        <w:spacing w:before="240" w:lineRule="auto"/>
        <w:ind w:firstLine="540"/>
        <w:jc w:val="both"/>
      </w:pPr>
      <w:r>
        <w:rPr>
          <w:sz w:val="24"/>
        </w:rPr>
        <w:t xml:space="preserve">Комиссия действует в соответствии с Положением о Комиссии по проведению отбора на предоставление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утвержденным постановлением Кабинета Министров Чувашской Республики.</w:t>
      </w:r>
    </w:p>
    <w:p>
      <w:pPr>
        <w:pStyle w:val="0"/>
        <w:spacing w:before="240" w:lineRule="auto"/>
        <w:ind w:firstLine="540"/>
        <w:jc w:val="both"/>
      </w:pPr>
      <w:r>
        <w:rPr>
          <w:sz w:val="24"/>
        </w:rPr>
        <w:t xml:space="preserve">Комиссией при проведении конкурсного отбора учитывается соблюдение принципа эффективности использования бюджетных средств.</w:t>
      </w:r>
    </w:p>
    <w:p>
      <w:pPr>
        <w:pStyle w:val="0"/>
        <w:spacing w:before="240" w:lineRule="auto"/>
        <w:ind w:firstLine="540"/>
        <w:jc w:val="both"/>
      </w:pPr>
      <w:r>
        <w:rPr>
          <w:sz w:val="24"/>
        </w:rPr>
        <w:t xml:space="preserve">Заседание Комиссии проводится не позднее 35 календарных дней со дня окончания приема заявок.</w:t>
      </w:r>
    </w:p>
    <w:p>
      <w:pPr>
        <w:pStyle w:val="0"/>
        <w:spacing w:before="240" w:lineRule="auto"/>
        <w:ind w:firstLine="540"/>
        <w:jc w:val="both"/>
      </w:pPr>
      <w:r>
        <w:rPr>
          <w:sz w:val="24"/>
        </w:rPr>
        <w:t xml:space="preserve">Комиссия рассматривает заявки, признанные надлежащими в соответствии с </w:t>
      </w:r>
      <w:hyperlink w:history="0" w:anchor="P235" w:tooltip="4.2. Заявка претендента признается надлежащей, если она соответствует требованиям, установленным настоящими Правилами, и отсутствуют основания для отклонения заявки.">
        <w:r>
          <w:rPr>
            <w:sz w:val="24"/>
            <w:color w:val="0000ff"/>
          </w:rPr>
          <w:t xml:space="preserve">пунктом 4.2</w:t>
        </w:r>
      </w:hyperlink>
      <w:r>
        <w:rPr>
          <w:sz w:val="24"/>
        </w:rPr>
        <w:t xml:space="preserve"> настоящих Правил, оценивает заявки в соответствии с </w:t>
      </w:r>
      <w:hyperlink w:history="0" w:anchor="P1126" w:tooltip="КРИТЕРИИ">
        <w:r>
          <w:rPr>
            <w:sz w:val="24"/>
            <w:color w:val="0000ff"/>
          </w:rPr>
          <w:t xml:space="preserve">критериями</w:t>
        </w:r>
      </w:hyperlink>
      <w:r>
        <w:rPr>
          <w:sz w:val="24"/>
        </w:rPr>
        <w:t xml:space="preserve"> оценки заявок на предоставление субсидий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указанными в приложении N 8 к настоящим Правилам. Начисление баллов по критериям оценки заявок, указанным в приложении N 8 к настоящим Правилам, осуществляется с использованием 100-балльной шкалы оценки.</w:t>
      </w:r>
    </w:p>
    <w:p>
      <w:pPr>
        <w:pStyle w:val="0"/>
        <w:spacing w:before="240" w:lineRule="auto"/>
        <w:ind w:firstLine="540"/>
        <w:jc w:val="both"/>
      </w:pPr>
      <w:r>
        <w:rPr>
          <w:sz w:val="24"/>
        </w:rPr>
        <w:t xml:space="preserve">Правила оценки заявок по </w:t>
      </w:r>
      <w:hyperlink w:history="0" w:anchor="P1126" w:tooltip="КРИТЕРИИ">
        <w:r>
          <w:rPr>
            <w:sz w:val="24"/>
            <w:color w:val="0000ff"/>
          </w:rPr>
          <w:t xml:space="preserve">критериям</w:t>
        </w:r>
      </w:hyperlink>
      <w:r>
        <w:rPr>
          <w:sz w:val="24"/>
        </w:rPr>
        <w:t xml:space="preserve">, указанным в приложении N 8 к настоящим Правилам, определяются исходя из начисления баллов по критериям оценки заявок или показателям критериев оценки заявок, которое осуществляется с использованием 100-балльной шкалы оценки.</w:t>
      </w:r>
    </w:p>
    <w:p>
      <w:pPr>
        <w:pStyle w:val="0"/>
        <w:spacing w:before="240" w:lineRule="auto"/>
        <w:ind w:firstLine="540"/>
        <w:jc w:val="both"/>
      </w:pPr>
      <w:r>
        <w:rPr>
          <w:sz w:val="24"/>
        </w:rPr>
        <w:t xml:space="preserve">Комиссия выставляет баллы от большего значения к меньшему значению по мере уменьшения полученных баллов по итогам оценки заявки исходя из наилучших условий достижения значений характеристик результата, указанных в </w:t>
      </w:r>
      <w:hyperlink w:history="0" w:anchor="P301" w:tooltip="4.10. Результатом предоставления субсидии является достижение получателем субсидии значений следующих характеристик результата:">
        <w:r>
          <w:rPr>
            <w:sz w:val="24"/>
            <w:color w:val="0000ff"/>
          </w:rPr>
          <w:t xml:space="preserve">пункте 4.10</w:t>
        </w:r>
      </w:hyperlink>
      <w:r>
        <w:rPr>
          <w:sz w:val="24"/>
        </w:rPr>
        <w:t xml:space="preserve"> настоящих Правил.</w:t>
      </w:r>
    </w:p>
    <w:p>
      <w:pPr>
        <w:pStyle w:val="0"/>
        <w:spacing w:before="240" w:lineRule="auto"/>
        <w:ind w:firstLine="540"/>
        <w:jc w:val="both"/>
      </w:pPr>
      <w:r>
        <w:rPr>
          <w:sz w:val="24"/>
        </w:rPr>
        <w:t xml:space="preserve">В случае равенства количества полученных баллов учитывается очередность поступления заявок.</w:t>
      </w:r>
    </w:p>
    <w:p>
      <w:pPr>
        <w:pStyle w:val="0"/>
        <w:spacing w:before="240" w:lineRule="auto"/>
        <w:ind w:firstLine="540"/>
        <w:jc w:val="both"/>
      </w:pPr>
      <w:r>
        <w:rPr>
          <w:sz w:val="24"/>
        </w:rPr>
        <w:t xml:space="preserve">Комиссией формируется </w:t>
      </w:r>
      <w:hyperlink w:history="0" w:anchor="P1216" w:tooltip="РЕЙТИНГ ЗАЯВОК">
        <w:r>
          <w:rPr>
            <w:sz w:val="24"/>
            <w:color w:val="0000ff"/>
          </w:rPr>
          <w:t xml:space="preserve">рейтинг</w:t>
        </w:r>
      </w:hyperlink>
      <w:r>
        <w:rPr>
          <w:sz w:val="24"/>
        </w:rPr>
        <w:t xml:space="preserve"> заявок по форме согласно приложению N 9 к настоящим Правилам, в котором на первой строке располагается заявка, набравшая по сравнению с другими заявками наивысший итоговый балл (наилучший результат).</w:t>
      </w:r>
    </w:p>
    <w:p>
      <w:pPr>
        <w:pStyle w:val="0"/>
        <w:spacing w:before="240" w:lineRule="auto"/>
        <w:ind w:firstLine="540"/>
        <w:jc w:val="both"/>
      </w:pPr>
      <w:r>
        <w:rPr>
          <w:sz w:val="24"/>
        </w:rPr>
        <w:t xml:space="preserve">Первое место присуждается претенденту, заявка которого располагается на первой строке рейтинга. Второе и последующие места присуждаются претендентам, заявки которых располагается в рейтинге соответственно на второй строке и ниже.</w:t>
      </w:r>
    </w:p>
    <w:p>
      <w:pPr>
        <w:pStyle w:val="0"/>
        <w:spacing w:before="240" w:lineRule="auto"/>
        <w:ind w:firstLine="540"/>
        <w:jc w:val="both"/>
      </w:pPr>
      <w:r>
        <w:rPr>
          <w:sz w:val="24"/>
        </w:rPr>
        <w:t xml:space="preserve">Субсидии среди победителей конкурсного отбора распределяются согласно рейтингу до полного использования лимитов бюджетных обязательств, доведенных Минпромэнерго Чувашии на предоставление субсидий.</w:t>
      </w:r>
    </w:p>
    <w:p>
      <w:pPr>
        <w:pStyle w:val="0"/>
        <w:spacing w:before="240" w:lineRule="auto"/>
        <w:ind w:firstLine="540"/>
        <w:jc w:val="both"/>
      </w:pPr>
      <w:r>
        <w:rPr>
          <w:sz w:val="24"/>
        </w:rPr>
        <w:t xml:space="preserve">В случае возврата получателем субсидии не использованных в текущем финансовом году средств субсидии, а также выделения дополнительных средств из республиканского бюджета Чувашской Республики Комиссия принимает решение о предоставлении субсидии следующим после получателей субсидий претендентам, прошедшим конкурсный отбор, но не получившим субсидию по причине отсутствия лимитов бюджетных обязательств на цель, указанную в </w:t>
      </w:r>
      <w:hyperlink w:history="0" w:anchor="P58" w:tooltip="1.1. Настоящие Правила устанавливают условия и порядок предоставления субсидий из республиканского бюджета Чувашской Республики, в том числе за счет средств, поступивших в республиканский бюджет Чувашской Республики из федерального бюджета, в целях возмещения части затрат юридических лиц и индивидуальных предпринимателей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В случае если остаток лимитов бюджетных обязательств на предоставление субсидии в текущем финансовом году окажется меньше, чем размер субсидии, указанный в рейтинге, субсидия такому очередному претенденту предоставляется в размере, равном указанному остатку лимитов бюджетных обязательств. Такой претендент включается в число победителей конкурсного отбора.</w:t>
      </w:r>
    </w:p>
    <w:bookmarkStart w:id="260" w:name="P260"/>
    <w:bookmarkEnd w:id="260"/>
    <w:p>
      <w:pPr>
        <w:pStyle w:val="0"/>
        <w:spacing w:before="240" w:lineRule="auto"/>
        <w:ind w:firstLine="540"/>
        <w:jc w:val="both"/>
      </w:pPr>
      <w:r>
        <w:rPr>
          <w:sz w:val="24"/>
        </w:rPr>
        <w:t xml:space="preserve">4.5. Комиссия принимает решение о предоставлении субсидии либо об отказе в ее предоставлении не позднее 35 календарных дней со дня окончания приема заявок.</w:t>
      </w:r>
    </w:p>
    <w:p>
      <w:pPr>
        <w:pStyle w:val="0"/>
        <w:spacing w:before="240" w:lineRule="auto"/>
        <w:ind w:firstLine="540"/>
        <w:jc w:val="both"/>
      </w:pPr>
      <w:r>
        <w:rPr>
          <w:sz w:val="24"/>
        </w:rPr>
        <w:t xml:space="preserve">Основаниями для отказа претенденту в предоставлении субсидии являются:</w:t>
      </w:r>
    </w:p>
    <w:p>
      <w:pPr>
        <w:pStyle w:val="0"/>
        <w:spacing w:before="240" w:lineRule="auto"/>
        <w:ind w:firstLine="540"/>
        <w:jc w:val="both"/>
      </w:pPr>
      <w:r>
        <w:rPr>
          <w:sz w:val="24"/>
        </w:rPr>
        <w:t xml:space="preserve">установлен факт недостоверности представленной претендентом информации;</w:t>
      </w:r>
    </w:p>
    <w:p>
      <w:pPr>
        <w:pStyle w:val="0"/>
        <w:spacing w:before="240" w:lineRule="auto"/>
        <w:ind w:firstLine="540"/>
        <w:jc w:val="both"/>
      </w:pPr>
      <w:r>
        <w:rPr>
          <w:sz w:val="24"/>
        </w:rPr>
        <w:t xml:space="preserve">ранее в отношении претендента было принято решение об оказании аналогичной поддержки в отношении одноименного оборудования, условия оказания которой совпадают, включая форму, вид поддержки и цель ее оказания;</w:t>
      </w:r>
    </w:p>
    <w:p>
      <w:pPr>
        <w:pStyle w:val="0"/>
        <w:spacing w:before="240" w:lineRule="auto"/>
        <w:ind w:firstLine="540"/>
        <w:jc w:val="both"/>
      </w:pPr>
      <w:r>
        <w:rPr>
          <w:sz w:val="24"/>
        </w:rPr>
        <w:t xml:space="preserve">отсутствуют лимиты бюджетных обязательств на цель, указанную в </w:t>
      </w:r>
      <w:hyperlink w:history="0" w:anchor="P58" w:tooltip="1.1. Настоящие Правила устанавливают условия и порядок предоставления субсидий из республиканского бюджета Чувашской Республики, в том числе за счет средств, поступивших в республиканский бюджет Чувашской Республики из федерального бюджета, в целях возмещения части затрат юридических лиц и индивидуальных предпринимателей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Решение Комиссии оформляется протоколом подведения итогов конкурсного отбора. Протокол подведения итогов конкурсного отбора формируется на едином портале автоматически на основании результатов определения победителей конкурсного отбора и подписывается усиленной квалифицированной электронной подписью председателя Комиссии - министра промышленности и энергетики Чувашской Республики (уполномоченного им лица) в системе "Электронный бюджет", а также размещается на едином портале и официальном сайте Минпромэнерго Чувашии не позднее одного рабочего дня, следующего за днем его подписания.</w:t>
      </w:r>
    </w:p>
    <w:p>
      <w:pPr>
        <w:pStyle w:val="0"/>
        <w:spacing w:before="240" w:lineRule="auto"/>
        <w:ind w:firstLine="540"/>
        <w:jc w:val="both"/>
      </w:pPr>
      <w:r>
        <w:rPr>
          <w:sz w:val="24"/>
        </w:rPr>
        <w:t xml:space="preserve">Протокол подведения итогов конкурсного отбора включает в себя следующие сведения:</w:t>
      </w:r>
    </w:p>
    <w:p>
      <w:pPr>
        <w:pStyle w:val="0"/>
        <w:spacing w:before="240" w:lineRule="auto"/>
        <w:ind w:firstLine="540"/>
        <w:jc w:val="both"/>
      </w:pPr>
      <w:r>
        <w:rPr>
          <w:sz w:val="24"/>
        </w:rPr>
        <w:t xml:space="preserve">дату, время и место рассмотрения заявок на первом этапе конкурсного отбора;</w:t>
      </w:r>
    </w:p>
    <w:p>
      <w:pPr>
        <w:pStyle w:val="0"/>
        <w:spacing w:before="240" w:lineRule="auto"/>
        <w:ind w:firstLine="540"/>
        <w:jc w:val="both"/>
      </w:pPr>
      <w:r>
        <w:rPr>
          <w:sz w:val="24"/>
        </w:rPr>
        <w:t xml:space="preserve">дату, время, место рассмотрения и оценки заявок на втором этапе конкурсного отбора;</w:t>
      </w:r>
    </w:p>
    <w:p>
      <w:pPr>
        <w:pStyle w:val="0"/>
        <w:spacing w:before="240" w:lineRule="auto"/>
        <w:ind w:firstLine="540"/>
        <w:jc w:val="both"/>
      </w:pPr>
      <w:r>
        <w:rPr>
          <w:sz w:val="24"/>
        </w:rPr>
        <w:t xml:space="preserve">информацию о претендентах, заявки которых были рассмотрены;</w:t>
      </w:r>
    </w:p>
    <w:p>
      <w:pPr>
        <w:pStyle w:val="0"/>
        <w:spacing w:before="240" w:lineRule="auto"/>
        <w:ind w:firstLine="540"/>
        <w:jc w:val="both"/>
      </w:pPr>
      <w:r>
        <w:rPr>
          <w:sz w:val="24"/>
        </w:rPr>
        <w:t xml:space="preserve">информацию о претендентах, заявки которых были отклонены на первом этапе конкурсного отбора, с указанием причин их отклонения, в том числе положений объявления о проведении конкурсного отбора, которым не соответствуют заявки;</w:t>
      </w:r>
    </w:p>
    <w:p>
      <w:pPr>
        <w:pStyle w:val="0"/>
        <w:spacing w:before="240" w:lineRule="auto"/>
        <w:ind w:firstLine="540"/>
        <w:jc w:val="both"/>
      </w:pPr>
      <w:r>
        <w:rPr>
          <w:sz w:val="24"/>
        </w:rPr>
        <w:t xml:space="preserve">информацию о претендентах, которым было отказано в предоставлении субсидии, с указанием причин отказа;</w:t>
      </w:r>
    </w:p>
    <w:p>
      <w:pPr>
        <w:pStyle w:val="0"/>
        <w:spacing w:before="240" w:lineRule="auto"/>
        <w:ind w:firstLine="540"/>
        <w:jc w:val="both"/>
      </w:pPr>
      <w:r>
        <w:rPr>
          <w:sz w:val="24"/>
        </w:rPr>
        <w:t xml:space="preserve">последовательность оценки заявок, присвоенные заявкам значения по каждому из предусмотренных критериев оценки заявки, принятое на основании результатов оценки заявок решение о присвоении заявкам порядковых номеров (ранжирование заявок);</w:t>
      </w:r>
    </w:p>
    <w:p>
      <w:pPr>
        <w:pStyle w:val="0"/>
        <w:spacing w:before="240" w:lineRule="auto"/>
        <w:ind w:firstLine="540"/>
        <w:jc w:val="both"/>
      </w:pPr>
      <w:r>
        <w:rPr>
          <w:sz w:val="24"/>
        </w:rPr>
        <w:t xml:space="preserve">наименование получателей субсидий, с которыми заключаются соглашения, размеры предоставляемых им субсидий.</w:t>
      </w:r>
    </w:p>
    <w:p>
      <w:pPr>
        <w:pStyle w:val="0"/>
        <w:spacing w:before="240" w:lineRule="auto"/>
        <w:ind w:firstLine="540"/>
        <w:jc w:val="both"/>
      </w:pPr>
      <w:r>
        <w:rPr>
          <w:sz w:val="24"/>
        </w:rPr>
        <w:t xml:space="preserve">Рейтинг заявок является приложением к протоколу подведения итогов конкурсного отбора.</w:t>
      </w:r>
    </w:p>
    <w:p>
      <w:pPr>
        <w:pStyle w:val="0"/>
        <w:spacing w:before="240" w:lineRule="auto"/>
        <w:ind w:firstLine="540"/>
        <w:jc w:val="both"/>
      </w:pPr>
      <w:r>
        <w:rPr>
          <w:sz w:val="24"/>
        </w:rPr>
        <w:t xml:space="preserve">Внесение изменений в протокол рассмотрения заявок и протокол подведения итогов конкурсного отбора осуществляется не позднее 10 календарных дней с даты подписания первых версий протокола рассмотрения заявок и протокола подведения итогов конкурсного отбора путем формирования новых версий указанных протоколов в порядке, аналогичном порядку их формирования, установленному соответственно </w:t>
      </w:r>
      <w:hyperlink w:history="0" w:anchor="P237" w:tooltip="4.3. Основаниями для отклонения заявки являются:">
        <w:r>
          <w:rPr>
            <w:sz w:val="24"/>
            <w:color w:val="0000ff"/>
          </w:rPr>
          <w:t xml:space="preserve">пунктами 4.3</w:t>
        </w:r>
      </w:hyperlink>
      <w:r>
        <w:rPr>
          <w:sz w:val="24"/>
        </w:rPr>
        <w:t xml:space="preserve"> и </w:t>
      </w:r>
      <w:hyperlink w:history="0" w:anchor="P260" w:tooltip="4.5. Комиссия принимает решение о предоставлении субсидии либо об отказе в ее предоставлении не позднее 35 календарных дней со дня окончания приема заявок.">
        <w:r>
          <w:rPr>
            <w:sz w:val="24"/>
            <w:color w:val="0000ff"/>
          </w:rPr>
          <w:t xml:space="preserve">4.5</w:t>
        </w:r>
      </w:hyperlink>
      <w:r>
        <w:rPr>
          <w:sz w:val="24"/>
        </w:rPr>
        <w:t xml:space="preserve"> настоящих Правил, с указанием причин внесения таких изменений.</w:t>
      </w:r>
    </w:p>
    <w:p>
      <w:pPr>
        <w:pStyle w:val="0"/>
        <w:spacing w:before="240" w:lineRule="auto"/>
        <w:ind w:firstLine="540"/>
        <w:jc w:val="both"/>
      </w:pPr>
      <w:r>
        <w:rPr>
          <w:sz w:val="24"/>
        </w:rPr>
        <w:t xml:space="preserve">4.6. В случае непоступления в Минпромэнерго Чувашии в течение срока приема заявок, указанного в объявлении о проведении конкурсного отбора, ни одной заявки конкурсный отбор признается несостоявшимся.</w:t>
      </w:r>
    </w:p>
    <w:p>
      <w:pPr>
        <w:pStyle w:val="0"/>
        <w:spacing w:before="240" w:lineRule="auto"/>
        <w:ind w:firstLine="540"/>
        <w:jc w:val="both"/>
      </w:pPr>
      <w:r>
        <w:rPr>
          <w:sz w:val="24"/>
        </w:rPr>
        <w:t xml:space="preserve">Минпромэнерго Чувашии отменяет конкурсный отбор в случае внесения изменений в законодательство Российской Федерации, требующих внесения изменений в настоящие Правила.</w:t>
      </w:r>
    </w:p>
    <w:p>
      <w:pPr>
        <w:pStyle w:val="0"/>
        <w:spacing w:before="240" w:lineRule="auto"/>
        <w:ind w:firstLine="540"/>
        <w:jc w:val="both"/>
      </w:pPr>
      <w:r>
        <w:rPr>
          <w:sz w:val="24"/>
        </w:rPr>
        <w:t xml:space="preserve">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промышленности и энергетики Чувашской Республики (уполномоченного им лица), размещается на едином портале не позднее чем за один рабочий день до даты окончания срока приема заявок, указанного в объявлении о проведении конкурсного отбора, и содержит информацию о причинах отмены конкурсного отбора.</w:t>
      </w:r>
    </w:p>
    <w:p>
      <w:pPr>
        <w:pStyle w:val="0"/>
        <w:spacing w:before="240" w:lineRule="auto"/>
        <w:ind w:firstLine="540"/>
        <w:jc w:val="both"/>
      </w:pPr>
      <w:r>
        <w:rPr>
          <w:sz w:val="24"/>
        </w:rPr>
        <w:t xml:space="preserve">Конкурсный отбор считается отмененным со дня размещения объявления о его отмене на едином портале.</w:t>
      </w:r>
    </w:p>
    <w:p>
      <w:pPr>
        <w:pStyle w:val="0"/>
        <w:spacing w:before="240" w:lineRule="auto"/>
        <w:ind w:firstLine="540"/>
        <w:jc w:val="both"/>
      </w:pPr>
      <w:r>
        <w:rPr>
          <w:sz w:val="24"/>
        </w:rPr>
        <w:t xml:space="preserve">После окончания срока отмены проведения конкурсного отбора и до заключения соглашения с победителем (победителями) конкурсного отбора Минпромэнерго Чувашии может отменить конкурсный отбор только в случае возникновения обстоятельств непреодолимой силы в соответствии с </w:t>
      </w:r>
      <w:hyperlink w:history="0" r:id="rId52"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w:t>
      </w:r>
    </w:p>
    <w:bookmarkStart w:id="281" w:name="P281"/>
    <w:bookmarkEnd w:id="281"/>
    <w:p>
      <w:pPr>
        <w:pStyle w:val="0"/>
        <w:spacing w:before="240" w:lineRule="auto"/>
        <w:ind w:firstLine="540"/>
        <w:jc w:val="both"/>
      </w:pPr>
      <w:r>
        <w:rPr>
          <w:sz w:val="24"/>
        </w:rPr>
        <w:t xml:space="preserve">4.7. По результатам конкурсного отбора с победителем (победителями) конкурсного отбора заключается соглашение.</w:t>
      </w:r>
    </w:p>
    <w:p>
      <w:pPr>
        <w:pStyle w:val="0"/>
        <w:spacing w:before="240" w:lineRule="auto"/>
        <w:ind w:firstLine="540"/>
        <w:jc w:val="both"/>
      </w:pPr>
      <w:r>
        <w:rPr>
          <w:sz w:val="24"/>
        </w:rPr>
        <w:t xml:space="preserve">Минпромэнерго Чувашии в течение трех рабочих дней со дня размещения протокола подведения итогов конкурсного отбора на едином портале формирует проекты соглашений, дополнительных соглашений к соглашениям (при необходимости) в системе "Электронный бюджет".</w:t>
      </w:r>
    </w:p>
    <w:p>
      <w:pPr>
        <w:pStyle w:val="0"/>
        <w:spacing w:before="240" w:lineRule="auto"/>
        <w:ind w:firstLine="540"/>
        <w:jc w:val="both"/>
      </w:pPr>
      <w:r>
        <w:rPr>
          <w:sz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между Минпромэнерго Чувашии и победителем (победителями) конкурсного отбора заключаются в системе "Электронный бюджет" в соответствии с типовыми формами, установленными Минфином России для соглашений о предоставлении субсидий из федерального бюджета.</w:t>
      </w:r>
    </w:p>
    <w:p>
      <w:pPr>
        <w:pStyle w:val="0"/>
        <w:spacing w:before="240" w:lineRule="auto"/>
        <w:ind w:firstLine="540"/>
        <w:jc w:val="both"/>
      </w:pPr>
      <w:r>
        <w:rPr>
          <w:sz w:val="24"/>
        </w:rPr>
        <w:t xml:space="preserve">Соглашение должно содержать положение о представлении получателем субсидии отчета о выполнении показателей, указанных в резюме инвестиционного проекта, включающего достижение плановых показателей, в том числе объемов налоговых отчислений в бюджеты всех уровней, млн. рублей (нарастающим итогом).</w:t>
      </w:r>
    </w:p>
    <w:p>
      <w:pPr>
        <w:pStyle w:val="0"/>
        <w:spacing w:before="240" w:lineRule="auto"/>
        <w:ind w:firstLine="540"/>
        <w:jc w:val="both"/>
      </w:pPr>
      <w:r>
        <w:rPr>
          <w:sz w:val="24"/>
        </w:rPr>
        <w:t xml:space="preserve">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Минпромэнерго Чувашии ранее доведенных лимитов бюджетных обязательств, приводящего к невозможности предоставления субсидии в размере, определенном в соглашении.</w:t>
      </w:r>
    </w:p>
    <w:p>
      <w:pPr>
        <w:pStyle w:val="0"/>
        <w:spacing w:before="240" w:lineRule="auto"/>
        <w:ind w:firstLine="540"/>
        <w:jc w:val="both"/>
      </w:pPr>
      <w:r>
        <w:rPr>
          <w:sz w:val="24"/>
        </w:rPr>
        <w:t xml:space="preserve">В соглашение включается обязательство получателя субсидии об обеспечении сохранности субсидируемого нового технологического оборудования в течение срока действия соглашения (за исключением случаев возникновения обстоятельств непреодолимой силы в соответствии с </w:t>
      </w:r>
      <w:hyperlink w:history="0" r:id="rId53" w:tooltip="&quot;Гражданский кодекс Российской Федерации (часть первая)&quot; от 30.11.1994 N 51-ФЗ (ред. от 10.06.2026) {КонсультантПлюс}">
        <w:r>
          <w:rPr>
            <w:sz w:val="24"/>
            <w:color w:val="0000ff"/>
          </w:rPr>
          <w:t xml:space="preserve">пунктом 3 статьи 401</w:t>
        </w:r>
      </w:hyperlink>
      <w:r>
        <w:rPr>
          <w:sz w:val="24"/>
        </w:rPr>
        <w:t xml:space="preserve"> Гражданского кодекса Российской Федерации), а также условие, устанавливаемое согласно </w:t>
      </w:r>
      <w:hyperlink w:history="0" r:id="rId54"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4"/>
            <w:color w:val="0000ff"/>
          </w:rPr>
          <w:t xml:space="preserve">пункту 19.1</w:t>
        </w:r>
      </w:hyperlink>
      <w:r>
        <w:rPr>
          <w:sz w:val="24"/>
        </w:rPr>
        <w:t xml:space="preserve">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 октября 2023 г. N 1782.</w:t>
      </w:r>
    </w:p>
    <w:p>
      <w:pPr>
        <w:pStyle w:val="0"/>
        <w:jc w:val="both"/>
      </w:pPr>
      <w:r>
        <w:rPr>
          <w:sz w:val="24"/>
        </w:rPr>
        <w:t xml:space="preserve">(в ред. </w:t>
      </w:r>
      <w:hyperlink w:history="0" r:id="rId55"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40" w:lineRule="auto"/>
        <w:ind w:firstLine="540"/>
        <w:jc w:val="both"/>
      </w:pPr>
      <w:r>
        <w:rPr>
          <w:sz w:val="24"/>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при прекращении деятельности индивидуального предпринимателя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Чувашской Республики.</w:t>
      </w:r>
    </w:p>
    <w:p>
      <w:pPr>
        <w:pStyle w:val="0"/>
        <w:spacing w:before="240" w:lineRule="auto"/>
        <w:ind w:firstLine="540"/>
        <w:jc w:val="both"/>
      </w:pPr>
      <w:r>
        <w:rPr>
          <w:sz w:val="24"/>
        </w:rPr>
        <w:t xml:space="preserve">В целях заключения соглашения победителем (победителями) конкурсного отбора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pPr>
        <w:pStyle w:val="0"/>
        <w:spacing w:before="240" w:lineRule="auto"/>
        <w:ind w:firstLine="540"/>
        <w:jc w:val="both"/>
      </w:pPr>
      <w:r>
        <w:rPr>
          <w:sz w:val="24"/>
        </w:rPr>
        <w:t xml:space="preserve">Если победитель конкурсного отбора не подписал соглашение в течение пяти рабочих дней со дня поступления соглашения на подписание в систему "Электронный бюджет" и не направил возражения по проекту соглашения, он признается уклонившимся от заключения соглашения.</w:t>
      </w:r>
    </w:p>
    <w:p>
      <w:pPr>
        <w:pStyle w:val="0"/>
        <w:spacing w:before="240" w:lineRule="auto"/>
        <w:ind w:firstLine="540"/>
        <w:jc w:val="both"/>
      </w:pPr>
      <w:r>
        <w:rPr>
          <w:sz w:val="24"/>
        </w:rPr>
        <w:t xml:space="preserve">В случае признания победителя конкурсного отбора уклонившимся от заключения соглашения перераспределение его лимитов между победителями конкурсного отбора, которым субсидия не предоставлена либо предоставлена не в полном объеме, осуществляется в соответствии с очередностью согласно рейтингу.</w:t>
      </w:r>
    </w:p>
    <w:p>
      <w:pPr>
        <w:pStyle w:val="0"/>
        <w:spacing w:before="240" w:lineRule="auto"/>
        <w:ind w:firstLine="540"/>
        <w:jc w:val="both"/>
      </w:pPr>
      <w:r>
        <w:rPr>
          <w:sz w:val="24"/>
        </w:rPr>
        <w:t xml:space="preserve">Минпромэнерго Чувашии принимает решение о внесении (об отклонении) соответствующих изменений и повторно направляет на подписание соглашение победителю конкурсного отбора в течение срока, указанного в настоящем пункте.</w:t>
      </w:r>
    </w:p>
    <w:p>
      <w:pPr>
        <w:pStyle w:val="0"/>
        <w:spacing w:before="240" w:lineRule="auto"/>
        <w:ind w:firstLine="540"/>
        <w:jc w:val="both"/>
      </w:pPr>
      <w:r>
        <w:rPr>
          <w:sz w:val="24"/>
        </w:rPr>
        <w:t xml:space="preserve">Победитель конкурсного отбора вправе отказаться от заключения соглашения.</w:t>
      </w:r>
    </w:p>
    <w:p>
      <w:pPr>
        <w:pStyle w:val="0"/>
        <w:spacing w:before="240" w:lineRule="auto"/>
        <w:ind w:firstLine="540"/>
        <w:jc w:val="both"/>
      </w:pPr>
      <w:r>
        <w:rPr>
          <w:sz w:val="24"/>
        </w:rPr>
        <w:t xml:space="preserve">При отказе победителя конкурсного отбора от заключения соглашения или уклонении от заключения соглашения решение о предоставлении субсидии считается аннулированным.</w:t>
      </w:r>
    </w:p>
    <w:p>
      <w:pPr>
        <w:pStyle w:val="0"/>
        <w:spacing w:before="240" w:lineRule="auto"/>
        <w:ind w:firstLine="540"/>
        <w:jc w:val="both"/>
      </w:pPr>
      <w:r>
        <w:rPr>
          <w:sz w:val="24"/>
        </w:rPr>
        <w:t xml:space="preserve">Право заключить соглашение предоставляется очередному претенденту согласно рейтингу, о чем данный претендент уведомляется Минпромэнерго Чувашии в срок не позднее пяти рабочих дней со дня получения Минпромэнерго Чувашии отказа победителя конкурсного отбора от заключения с ним соглашения или со дня, следующего за днем истечения срока, установленного для подписания соглашения.</w:t>
      </w:r>
    </w:p>
    <w:p>
      <w:pPr>
        <w:pStyle w:val="0"/>
        <w:spacing w:before="240" w:lineRule="auto"/>
        <w:ind w:firstLine="540"/>
        <w:jc w:val="both"/>
      </w:pPr>
      <w:r>
        <w:rPr>
          <w:sz w:val="24"/>
        </w:rPr>
        <w:t xml:space="preserve">Соглашение с таким участником конкурсного отбора заключается в порядке, предусмотренном для заключения соглашения с победителем конкурсного отбора.</w:t>
      </w:r>
    </w:p>
    <w:bookmarkStart w:id="298" w:name="P298"/>
    <w:bookmarkEnd w:id="298"/>
    <w:p>
      <w:pPr>
        <w:pStyle w:val="0"/>
        <w:spacing w:before="240" w:lineRule="auto"/>
        <w:ind w:firstLine="540"/>
        <w:jc w:val="both"/>
      </w:pPr>
      <w:r>
        <w:rPr>
          <w:sz w:val="24"/>
        </w:rPr>
        <w:t xml:space="preserve">4.8. Минпромэнерго Чувашии в течение трех рабочих дней со дня заключения соглашений составляет сводную </w:t>
      </w:r>
      <w:hyperlink w:history="0" w:anchor="P1261" w:tooltip="                          СВОДНАЯ СПРАВКА-РЕЕСТР">
        <w:r>
          <w:rPr>
            <w:sz w:val="24"/>
            <w:color w:val="0000ff"/>
          </w:rPr>
          <w:t xml:space="preserve">справку-реестр</w:t>
        </w:r>
      </w:hyperlink>
      <w:r>
        <w:rPr>
          <w:sz w:val="24"/>
        </w:rPr>
        <w:t xml:space="preserve"> о причитающихся суммах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по форме согласно приложению N 10 к настоящим Правилам и представляет ее в электронном виде в Министерство финансов Чувашской Республики (далее - Минфин Чувашии) вместе с заявками на кассовый расход и копиями соглашений.</w:t>
      </w:r>
    </w:p>
    <w:p>
      <w:pPr>
        <w:pStyle w:val="0"/>
        <w:spacing w:before="240" w:lineRule="auto"/>
        <w:ind w:firstLine="540"/>
        <w:jc w:val="both"/>
      </w:pPr>
      <w:r>
        <w:rPr>
          <w:sz w:val="24"/>
        </w:rPr>
        <w:t xml:space="preserve">4.9. Перечисление субсидий осуществляется с лицевого счета получателя средств республиканского бюджета Чувашской Республики - Минпромэнерго Чувашии, открытого в Минфине Чувашии, на лицевые счета участников казначейского сопровождения, открытые получателям субсидий в Минфине Чувашии, в течение трех рабочих дней со дня представления документов, указанных в </w:t>
      </w:r>
      <w:hyperlink w:history="0" w:anchor="P298" w:tooltip="4.8. Минпромэнерго Чувашии в течение трех рабочих дней со дня заключения соглашений составляет сводную справку-реестр о причитающихся суммах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по форме согласно приложению N 10 ...">
        <w:r>
          <w:rPr>
            <w:sz w:val="24"/>
            <w:color w:val="0000ff"/>
          </w:rPr>
          <w:t xml:space="preserve">пункте 4.8</w:t>
        </w:r>
      </w:hyperlink>
      <w:r>
        <w:rPr>
          <w:sz w:val="24"/>
        </w:rPr>
        <w:t xml:space="preserve"> настоящих Правил, но не позднее 10-го рабочего дня, следующего за днем принятия Комиссией решения о предоставлении субсидии по результатам рассмотрения и проверки ею документов, указанных в </w:t>
      </w:r>
      <w:hyperlink w:history="0" w:anchor="P260" w:tooltip="4.5. Комиссия принимает решение о предоставлении субсидии либо об отказе в ее предоставлении не позднее 35 календарных дней со дня окончания приема заявок.">
        <w:r>
          <w:rPr>
            <w:sz w:val="24"/>
            <w:color w:val="0000ff"/>
          </w:rPr>
          <w:t xml:space="preserve">пункте 4.5</w:t>
        </w:r>
      </w:hyperlink>
      <w:r>
        <w:rPr>
          <w:sz w:val="24"/>
        </w:rPr>
        <w:t xml:space="preserve"> настоящих Правил.</w:t>
      </w:r>
    </w:p>
    <w:p>
      <w:pPr>
        <w:pStyle w:val="0"/>
        <w:spacing w:before="240" w:lineRule="auto"/>
        <w:ind w:firstLine="540"/>
        <w:jc w:val="both"/>
      </w:pPr>
      <w:r>
        <w:rPr>
          <w:sz w:val="24"/>
        </w:rPr>
        <w:t xml:space="preserve">Минпромэнерго Чувашии совместно с Управлением Федерального казначейства по Чувашской Республике обеспечивает сопровождение соглашений, заключаемых в рамках реализации мероприятий индивидуальной программы социально-экономического развития Чувашской Республики.</w:t>
      </w:r>
    </w:p>
    <w:bookmarkStart w:id="301" w:name="P301"/>
    <w:bookmarkEnd w:id="301"/>
    <w:p>
      <w:pPr>
        <w:pStyle w:val="0"/>
        <w:spacing w:before="240" w:lineRule="auto"/>
        <w:ind w:firstLine="540"/>
        <w:jc w:val="both"/>
      </w:pPr>
      <w:r>
        <w:rPr>
          <w:sz w:val="24"/>
        </w:rPr>
        <w:t xml:space="preserve">4.10. Результатом предоставления субсидии является достижение получателем субсидии значений следующих характеристик результата:</w:t>
      </w:r>
    </w:p>
    <w:p>
      <w:pPr>
        <w:pStyle w:val="0"/>
        <w:spacing w:before="240" w:lineRule="auto"/>
        <w:ind w:firstLine="540"/>
        <w:jc w:val="both"/>
      </w:pPr>
      <w:r>
        <w:rPr>
          <w:sz w:val="24"/>
        </w:rPr>
        <w:t xml:space="preserve">1) количество новых рабочих мест, созданных в рамках реализации индивидуальной программы социально-экономического развития Чувашской Республики (нарастающим итогом): трудоустройство на постоянную работу новых работников исходя из расчета не менее одного нового работника на каждые 10 млн. рублей субсидии, но не менее одного нового работника на одну субсидию, не позднее 24 месяцев со дня предоставления субсидии; сохранение созданных для трудоустройства на постоянную работу новых работников рабочих мест в течение не менее трех лет с даты получения субсидии;</w:t>
      </w:r>
    </w:p>
    <w:p>
      <w:pPr>
        <w:pStyle w:val="0"/>
        <w:jc w:val="both"/>
      </w:pPr>
      <w:r>
        <w:rPr>
          <w:sz w:val="24"/>
        </w:rPr>
        <w:t xml:space="preserve">(пп. 1 в ред. </w:t>
      </w:r>
      <w:hyperlink w:history="0" r:id="rId56"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2) 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 в течение трех лет из расчета на 1 млн. рублей субсидии: в год предоставления субсидии - не менее 1,5 млн. рублей; в первый год после года предоставления субсидии - не менее 3,5 млн. рублей; во второй год после года предоставления субсидии - не менее 3,8 млн. рублей.</w:t>
      </w:r>
    </w:p>
    <w:p>
      <w:pPr>
        <w:pStyle w:val="0"/>
        <w:spacing w:before="240" w:lineRule="auto"/>
        <w:ind w:firstLine="540"/>
        <w:jc w:val="both"/>
      </w:pPr>
      <w:r>
        <w:rPr>
          <w:sz w:val="24"/>
        </w:rPr>
        <w:t xml:space="preserve">Достижение результата предоставления субсидии оценивается Минпромэнерго Чувашии исходя из достижения получателем субсидии установленных соглашением значений характеристик результата по состоянию на 31 декабря года предоставления субсидии, на 31 декабря первого года после года предоставления субсидии, на 31 декабря второго года после года предоставления субсидии.</w:t>
      </w:r>
    </w:p>
    <w:p>
      <w:pPr>
        <w:pStyle w:val="0"/>
        <w:spacing w:before="240" w:lineRule="auto"/>
        <w:ind w:firstLine="540"/>
        <w:jc w:val="both"/>
      </w:pPr>
      <w:r>
        <w:rPr>
          <w:sz w:val="24"/>
        </w:rPr>
        <w:t xml:space="preserve">4.11. Получатель субсидии представляет в Минпромэнерго Чувашии отчет о достижении значений результата предоставления субсидии и характеристик результата по форме, определенной типовой формой соглашения, установленной Минфином России (далее - отчет), с использованием системы "Электронный бюджет" нарастающим итогом по состоянию на 1-е число месяца до 10-го рабочего дня месяца, следующего за отчетным кварталом, при этом отчет за IV квартал представляется до 20 января года, следующего за годом предоставления субсидии.</w:t>
      </w:r>
    </w:p>
    <w:p>
      <w:pPr>
        <w:pStyle w:val="0"/>
        <w:spacing w:before="240" w:lineRule="auto"/>
        <w:ind w:firstLine="540"/>
        <w:jc w:val="both"/>
      </w:pPr>
      <w:r>
        <w:rPr>
          <w:sz w:val="24"/>
        </w:rPr>
        <w:t xml:space="preserve">Минпромэнерго Чувашии осуществляет проверку и принятие отчета в срок, не превышающий 30 рабочих дней со дня представления указанного отчета.</w:t>
      </w:r>
    </w:p>
    <w:p>
      <w:pPr>
        <w:pStyle w:val="0"/>
        <w:spacing w:before="240" w:lineRule="auto"/>
        <w:ind w:firstLine="540"/>
        <w:jc w:val="both"/>
      </w:pPr>
      <w:r>
        <w:rPr>
          <w:sz w:val="24"/>
        </w:rPr>
        <w:t xml:space="preserve">В случаях обнаружения ошибок и (или) несоответствия отчета установленной форме отчет возвращается получателю субсидии на доработку с указанием причин возврата.</w:t>
      </w:r>
    </w:p>
    <w:p>
      <w:pPr>
        <w:pStyle w:val="0"/>
        <w:spacing w:before="240" w:lineRule="auto"/>
        <w:ind w:firstLine="540"/>
        <w:jc w:val="both"/>
      </w:pPr>
      <w:r>
        <w:rPr>
          <w:sz w:val="24"/>
        </w:rPr>
        <w:t xml:space="preserve">Срок доработки отчета не может превышать трех рабочих дней со дня его возврата.</w:t>
      </w:r>
    </w:p>
    <w:p>
      <w:pPr>
        <w:pStyle w:val="0"/>
        <w:spacing w:before="240" w:lineRule="auto"/>
        <w:ind w:firstLine="540"/>
        <w:jc w:val="both"/>
      </w:pPr>
      <w:r>
        <w:rPr>
          <w:sz w:val="24"/>
        </w:rPr>
        <w:t xml:space="preserve">Получатель субсидии несет ответственность за достоверность информации в отчете и своевременное его представление.</w:t>
      </w:r>
    </w:p>
    <w:p>
      <w:pPr>
        <w:pStyle w:val="0"/>
        <w:jc w:val="both"/>
      </w:pPr>
      <w:r>
        <w:rPr>
          <w:sz w:val="24"/>
        </w:rPr>
      </w:r>
    </w:p>
    <w:bookmarkStart w:id="312" w:name="P312"/>
    <w:bookmarkEnd w:id="312"/>
    <w:p>
      <w:pPr>
        <w:pStyle w:val="2"/>
        <w:outlineLvl w:val="1"/>
        <w:jc w:val="center"/>
      </w:pPr>
      <w:r>
        <w:rPr>
          <w:sz w:val="24"/>
        </w:rPr>
        <w:t xml:space="preserve">V. Порядок возврата средств субсидии</w:t>
      </w:r>
    </w:p>
    <w:p>
      <w:pPr>
        <w:pStyle w:val="0"/>
        <w:jc w:val="center"/>
      </w:pPr>
      <w:r>
        <w:rPr>
          <w:sz w:val="24"/>
        </w:rPr>
        <w:t xml:space="preserve">(в ред. </w:t>
      </w:r>
      <w:hyperlink w:history="0" r:id="rId57"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w:t>
      </w:r>
    </w:p>
    <w:p>
      <w:pPr>
        <w:pStyle w:val="0"/>
        <w:jc w:val="center"/>
      </w:pPr>
      <w:r>
        <w:rPr>
          <w:sz w:val="24"/>
        </w:rPr>
        <w:t xml:space="preserve">от 10.06.2026 N 379)</w:t>
      </w:r>
    </w:p>
    <w:p>
      <w:pPr>
        <w:pStyle w:val="0"/>
        <w:jc w:val="both"/>
      </w:pPr>
      <w:r>
        <w:rPr>
          <w:sz w:val="24"/>
        </w:rPr>
      </w:r>
    </w:p>
    <w:bookmarkStart w:id="316" w:name="P316"/>
    <w:bookmarkEnd w:id="316"/>
    <w:p>
      <w:pPr>
        <w:pStyle w:val="0"/>
        <w:ind w:firstLine="540"/>
        <w:jc w:val="both"/>
      </w:pPr>
      <w:r>
        <w:rPr>
          <w:sz w:val="24"/>
        </w:rPr>
        <w:t xml:space="preserve">5.1. Возврат средств республиканского бюджета Чувашской Республики осуществляется:</w:t>
      </w:r>
    </w:p>
    <w:p>
      <w:pPr>
        <w:pStyle w:val="0"/>
        <w:spacing w:before="240" w:lineRule="auto"/>
        <w:ind w:firstLine="540"/>
        <w:jc w:val="both"/>
      </w:pPr>
      <w:r>
        <w:rPr>
          <w:sz w:val="24"/>
        </w:rPr>
        <w:t xml:space="preserve">в случае выявления фактов нарушения условий предоставления субсидии - в размере всей предоставленной суммы субсидии;</w:t>
      </w:r>
    </w:p>
    <w:p>
      <w:pPr>
        <w:pStyle w:val="0"/>
        <w:spacing w:before="240" w:lineRule="auto"/>
        <w:ind w:firstLine="540"/>
        <w:jc w:val="both"/>
      </w:pPr>
      <w:r>
        <w:rPr>
          <w:sz w:val="24"/>
        </w:rPr>
        <w:t xml:space="preserve">в случае недостижения значений результата предоставления субсидии - в соответствии с </w:t>
      </w:r>
      <w:hyperlink w:history="0" w:anchor="P329" w:tooltip="5.3. В случае если получателем субсидии по состоянию на 31 декабря отчетного года допущены нарушения обязательств по достижению значений результата предоставления субсидии, предусмотренных соглашением, и по результатам года, следующего за отчетным годом, указанные нарушения не устранены, то субсидия подлежит возврату в республиканский бюджет Чувашской Республики в срок до 1 мая второго (третьего) года, следующего за отчетным годом, в объеме (Vвозврата), рассчитанном по формуле">
        <w:r>
          <w:rPr>
            <w:sz w:val="24"/>
            <w:color w:val="0000ff"/>
          </w:rPr>
          <w:t xml:space="preserve">пунктом 5.3</w:t>
        </w:r>
      </w:hyperlink>
      <w:r>
        <w:rPr>
          <w:sz w:val="24"/>
        </w:rPr>
        <w:t xml:space="preserve"> настоящих Правил;</w:t>
      </w:r>
    </w:p>
    <w:p>
      <w:pPr>
        <w:pStyle w:val="0"/>
        <w:spacing w:before="240" w:lineRule="auto"/>
        <w:ind w:firstLine="540"/>
        <w:jc w:val="both"/>
      </w:pPr>
      <w:r>
        <w:rPr>
          <w:sz w:val="24"/>
        </w:rPr>
        <w:t xml:space="preserve">в случае передачи в аренду, отчуждения приобретенного по договору (договорам) купли-продажи оборудования, иным возмездным и безвозмездным сделкам нового технологического оборудования, затраты на приобретение которого были возмещены за счет средств субсидии, до истечения срока действия соглашения, заключенного в соответствии с </w:t>
      </w:r>
      <w:hyperlink w:history="0" w:anchor="P281" w:tooltip="4.7. По результатам конкурсного отбора с победителем (победителями) конкурсного отбора заключается соглашение.">
        <w:r>
          <w:rPr>
            <w:sz w:val="24"/>
            <w:color w:val="0000ff"/>
          </w:rPr>
          <w:t xml:space="preserve">абзацем первым пункта 4.7</w:t>
        </w:r>
      </w:hyperlink>
      <w:r>
        <w:rPr>
          <w:sz w:val="24"/>
        </w:rPr>
        <w:t xml:space="preserve"> настоящих Правил, - в размере суммы полученной субсидии пропорционально оставшемуся сроку амортизации оборудования (при расчете используется полный год эксплуатации);</w:t>
      </w:r>
    </w:p>
    <w:p>
      <w:pPr>
        <w:pStyle w:val="0"/>
        <w:spacing w:before="240" w:lineRule="auto"/>
        <w:ind w:firstLine="540"/>
        <w:jc w:val="both"/>
      </w:pPr>
      <w:r>
        <w:rPr>
          <w:sz w:val="24"/>
        </w:rPr>
        <w:t xml:space="preserve">в случае перемещения приобретенного нового технологического оборудования, затраты в отношении которого были возмещены за счет средств субсидии, за территорию Чувашской Республики до истечения срока действия соглашения, заключенного в соответствии с </w:t>
      </w:r>
      <w:hyperlink w:history="0" w:anchor="P281" w:tooltip="4.7. По результатам конкурсного отбора с победителем (победителями) конкурсного отбора заключается соглашение.">
        <w:r>
          <w:rPr>
            <w:sz w:val="24"/>
            <w:color w:val="0000ff"/>
          </w:rPr>
          <w:t xml:space="preserve">абзацем первым пункта 4.7</w:t>
        </w:r>
      </w:hyperlink>
      <w:r>
        <w:rPr>
          <w:sz w:val="24"/>
        </w:rPr>
        <w:t xml:space="preserve"> настоящих Правил, - в размере суммы полученной субсидии пропорционально оставшемуся сроку амортизации оборудования (при расчете используется полный год эксплуатации).</w:t>
      </w:r>
    </w:p>
    <w:p>
      <w:pPr>
        <w:pStyle w:val="0"/>
        <w:spacing w:before="240" w:lineRule="auto"/>
        <w:ind w:firstLine="540"/>
        <w:jc w:val="both"/>
      </w:pPr>
      <w:r>
        <w:rPr>
          <w:sz w:val="24"/>
        </w:rPr>
        <w:t xml:space="preserve">Абзац утратил силу. - </w:t>
      </w:r>
      <w:hyperlink w:history="0" r:id="rId58"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Постановление</w:t>
        </w:r>
      </w:hyperlink>
      <w:r>
        <w:rPr>
          <w:sz w:val="24"/>
        </w:rPr>
        <w:t xml:space="preserve"> Кабинета Министров ЧР от 10.06.2026 N 379.</w:t>
      </w:r>
    </w:p>
    <w:p>
      <w:pPr>
        <w:pStyle w:val="0"/>
        <w:spacing w:before="240" w:lineRule="auto"/>
        <w:ind w:firstLine="540"/>
        <w:jc w:val="both"/>
      </w:pPr>
      <w:r>
        <w:rPr>
          <w:sz w:val="24"/>
        </w:rPr>
        <w:t xml:space="preserve">5.2. В случаях, установленных </w:t>
      </w:r>
      <w:hyperlink w:history="0" w:anchor="P316" w:tooltip="5.1. Возврат средств республиканского бюджета Чувашской Республики осуществляется:">
        <w:r>
          <w:rPr>
            <w:sz w:val="24"/>
            <w:color w:val="0000ff"/>
          </w:rPr>
          <w:t xml:space="preserve">пунктом 5.1</w:t>
        </w:r>
      </w:hyperlink>
      <w:r>
        <w:rPr>
          <w:sz w:val="24"/>
        </w:rPr>
        <w:t xml:space="preserve"> настоящих Правил, субсидия подлежит возврату в республиканский бюджет Чувашской Республики в следующем порядке:</w:t>
      </w:r>
    </w:p>
    <w:p>
      <w:pPr>
        <w:pStyle w:val="0"/>
        <w:spacing w:before="240" w:lineRule="auto"/>
        <w:ind w:firstLine="540"/>
        <w:jc w:val="both"/>
      </w:pPr>
      <w:r>
        <w:rPr>
          <w:sz w:val="24"/>
        </w:rPr>
        <w:t xml:space="preserve">Минпромэнерго Чувашии в течение 10 рабочих дней со дня выявления им нарушения получателем субсидии условий предоставления субсидии, в том числе в части достижения значений результата предоставления субсидии, или получения от органов государственного финансового контроля сведений о таком нарушении, выявленном при проведении проверок в соответствии со </w:t>
      </w:r>
      <w:hyperlink w:history="0" r:id="rId59"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60"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 составляет акт о нарушении условий предоставления субсидии или недостижении значений результата предоставления субсидии (далее - акт о нарушении) и направляет получателю субсидии уведомление о выявленном нарушении с указанием нарушения и срока его устранения, а также акт о нарушении.</w:t>
      </w:r>
    </w:p>
    <w:p>
      <w:pPr>
        <w:pStyle w:val="0"/>
        <w:spacing w:before="240" w:lineRule="auto"/>
        <w:ind w:firstLine="540"/>
        <w:jc w:val="both"/>
      </w:pPr>
      <w:r>
        <w:rPr>
          <w:sz w:val="24"/>
        </w:rPr>
        <w:t xml:space="preserve">В случае неустранения получателем субсидии нарушения в сроки, указанные в уведомлении о выявленном нарушении, Минпромэнерго Чувашии в течение 10 рабочих дней направляет получателю субсидии уведомление о возврате средств субсидии с указанием суммы подлежащей возврату субсидии, срока возврата средств субсидии, кода бюджетной классификации Российской Федерации, по которому должен быть осуществлен возврат средств субсидии, реквизиты лицевого счета, на который должны быть перечислены возвращаемые средства.</w:t>
      </w:r>
    </w:p>
    <w:p>
      <w:pPr>
        <w:pStyle w:val="0"/>
        <w:spacing w:before="240" w:lineRule="auto"/>
        <w:ind w:firstLine="540"/>
        <w:jc w:val="both"/>
      </w:pPr>
      <w:r>
        <w:rPr>
          <w:sz w:val="24"/>
        </w:rPr>
        <w:t xml:space="preserve">Акт о нарушении, уведомление о выявленном нарушении, уведомление о возврате средств субсидии направляются Минпромэнерго Чувашии в адрес получателя субсидии, указанный в соглашении, заказными письмами.</w:t>
      </w:r>
    </w:p>
    <w:p>
      <w:pPr>
        <w:pStyle w:val="0"/>
        <w:spacing w:before="240" w:lineRule="auto"/>
        <w:ind w:firstLine="540"/>
        <w:jc w:val="both"/>
      </w:pPr>
      <w:r>
        <w:rPr>
          <w:sz w:val="24"/>
        </w:rPr>
        <w:t xml:space="preserve">Получатель субсидии обязан осуществить возврат средств субсидии в течение 30 календарных дней со дня получения уведомления о возврате средств субсидии.</w:t>
      </w:r>
    </w:p>
    <w:p>
      <w:pPr>
        <w:pStyle w:val="0"/>
        <w:spacing w:before="240" w:lineRule="auto"/>
        <w:ind w:firstLine="540"/>
        <w:jc w:val="both"/>
      </w:pPr>
      <w:r>
        <w:rPr>
          <w:sz w:val="24"/>
        </w:rPr>
        <w:t xml:space="preserve">В случае недостижения значений результата предоставления субсидии, установленных соглашением, получатель субсидии обязан уплатить пени, размер которой составляет одну трехсотшестидесятую ключевой ставки Центрального банка Российской Федерации, действующей на дату начала начисления пени, от суммы субсидии, подлежащей возврату в республиканский бюджет Чувашской Республики, за каждый день просрочки (с первого дня, следующего за плановой датой достижения результата предоставления субсидии, до дня возврата средств субсидии (части субсидии) в республиканский бюджет Чувашской Республики).</w:t>
      </w:r>
    </w:p>
    <w:p>
      <w:pPr>
        <w:pStyle w:val="0"/>
        <w:jc w:val="both"/>
      </w:pPr>
      <w:r>
        <w:rPr>
          <w:sz w:val="24"/>
        </w:rPr>
        <w:t xml:space="preserve">(п. 5.2 в ред. </w:t>
      </w:r>
      <w:hyperlink w:history="0" r:id="rId61"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bookmarkStart w:id="329" w:name="P329"/>
    <w:bookmarkEnd w:id="329"/>
    <w:p>
      <w:pPr>
        <w:pStyle w:val="0"/>
        <w:spacing w:before="240" w:lineRule="auto"/>
        <w:ind w:firstLine="540"/>
        <w:jc w:val="both"/>
      </w:pPr>
      <w:r>
        <w:rPr>
          <w:sz w:val="24"/>
        </w:rPr>
        <w:t xml:space="preserve">5.3. В случае если получателем субсидии по состоянию на 31 декабря отчетного года допущены нарушения обязательств по достижению значений результата предоставления субсидии, предусмотренных соглашением, и по результатам года, следующего за отчетным годом, указанные нарушения не устранены, то субсидия подлежит возврату в республиканский бюджет Чувашской Республики в срок до 1 мая второго (третьего) года, следующего за отчетным годом, в объеме (V</w:t>
      </w:r>
      <w:r>
        <w:rPr>
          <w:sz w:val="24"/>
          <w:vertAlign w:val="subscript"/>
        </w:rPr>
        <w:t xml:space="preserve">возврата</w:t>
      </w:r>
      <w:r>
        <w:rPr>
          <w:sz w:val="24"/>
        </w:rPr>
        <w:t xml:space="preserve">), рассчитанном по формуле</w:t>
      </w:r>
    </w:p>
    <w:p>
      <w:pPr>
        <w:pStyle w:val="0"/>
        <w:jc w:val="both"/>
      </w:pPr>
      <w:r>
        <w:rPr>
          <w:sz w:val="24"/>
        </w:rPr>
      </w:r>
    </w:p>
    <w:p>
      <w:pPr>
        <w:pStyle w:val="0"/>
        <w:ind w:firstLine="540"/>
        <w:jc w:val="both"/>
      </w:pPr>
      <w:r>
        <w:rPr>
          <w:sz w:val="24"/>
        </w:rPr>
        <w:t xml:space="preserve">V</w:t>
      </w:r>
      <w:r>
        <w:rPr>
          <w:sz w:val="24"/>
          <w:vertAlign w:val="subscript"/>
        </w:rPr>
        <w:t xml:space="preserve">возврата</w:t>
      </w:r>
      <w:r>
        <w:rPr>
          <w:sz w:val="24"/>
        </w:rPr>
        <w:t xml:space="preserve"> = (V</w:t>
      </w:r>
      <w:r>
        <w:rPr>
          <w:sz w:val="24"/>
          <w:vertAlign w:val="subscript"/>
        </w:rPr>
        <w:t xml:space="preserve">субсидии</w:t>
      </w:r>
      <w:r>
        <w:rPr>
          <w:sz w:val="24"/>
        </w:rPr>
        <w:t xml:space="preserve"> x k x m / n) x 0,1,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V</w:t>
      </w:r>
      <w:r>
        <w:rPr>
          <w:sz w:val="24"/>
          <w:vertAlign w:val="subscript"/>
        </w:rPr>
        <w:t xml:space="preserve">субсидии</w:t>
      </w:r>
      <w:r>
        <w:rPr>
          <w:sz w:val="24"/>
        </w:rPr>
        <w:t xml:space="preserve"> - размер субсидии, полученной получателем субсидии;</w:t>
      </w:r>
    </w:p>
    <w:p>
      <w:pPr>
        <w:pStyle w:val="0"/>
        <w:spacing w:before="240" w:lineRule="auto"/>
        <w:ind w:firstLine="540"/>
        <w:jc w:val="both"/>
      </w:pPr>
      <w:r>
        <w:rPr>
          <w:sz w:val="24"/>
        </w:rPr>
        <w:t xml:space="preserve">k - коэффициент возврата средств субсидии;</w:t>
      </w:r>
    </w:p>
    <w:p>
      <w:pPr>
        <w:pStyle w:val="0"/>
        <w:jc w:val="both"/>
      </w:pPr>
      <w:r>
        <w:rPr>
          <w:sz w:val="24"/>
        </w:rPr>
        <w:t xml:space="preserve">(в ред. </w:t>
      </w:r>
      <w:hyperlink w:history="0" r:id="rId62"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m - количество результатов предоставления субсидии, по которым индекс, отражающий уровень недостижения значения i-го результата предоставления субсидии, имеет положительное значение;</w:t>
      </w:r>
    </w:p>
    <w:p>
      <w:pPr>
        <w:pStyle w:val="0"/>
        <w:spacing w:before="240" w:lineRule="auto"/>
        <w:ind w:firstLine="540"/>
        <w:jc w:val="both"/>
      </w:pPr>
      <w:r>
        <w:rPr>
          <w:sz w:val="24"/>
        </w:rPr>
        <w:t xml:space="preserve">n - общее количество характеристик результата.</w:t>
      </w:r>
    </w:p>
    <w:p>
      <w:pPr>
        <w:pStyle w:val="0"/>
        <w:spacing w:before="240" w:lineRule="auto"/>
        <w:ind w:firstLine="540"/>
        <w:jc w:val="both"/>
      </w:pPr>
      <w:r>
        <w:rPr>
          <w:sz w:val="24"/>
        </w:rPr>
        <w:t xml:space="preserve">Коэффициент возврата средств субсидии рассчитывается по формуле</w:t>
      </w:r>
    </w:p>
    <w:p>
      <w:pPr>
        <w:pStyle w:val="0"/>
        <w:jc w:val="both"/>
      </w:pPr>
      <w:r>
        <w:rPr>
          <w:sz w:val="24"/>
        </w:rPr>
        <w:t xml:space="preserve">(в ред. </w:t>
      </w:r>
      <w:hyperlink w:history="0" r:id="rId63"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jc w:val="both"/>
      </w:pPr>
      <w:r>
        <w:rPr>
          <w:sz w:val="24"/>
        </w:rPr>
      </w:r>
    </w:p>
    <w:p>
      <w:pPr>
        <w:pStyle w:val="0"/>
        <w:ind w:firstLine="540"/>
        <w:jc w:val="both"/>
      </w:pPr>
      <w:r>
        <w:rPr>
          <w:sz w:val="24"/>
        </w:rPr>
        <w:t xml:space="preserve">k = SUM D</w:t>
      </w:r>
      <w:r>
        <w:rPr>
          <w:sz w:val="24"/>
          <w:vertAlign w:val="subscript"/>
        </w:rPr>
        <w:t xml:space="preserve">i</w:t>
      </w:r>
      <w:r>
        <w:rPr>
          <w:sz w:val="24"/>
        </w:rPr>
        <w:t xml:space="preserve"> / m,</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D</w:t>
      </w:r>
      <w:r>
        <w:rPr>
          <w:sz w:val="24"/>
          <w:vertAlign w:val="subscript"/>
        </w:rPr>
        <w:t xml:space="preserve">i</w:t>
      </w:r>
      <w:r>
        <w:rPr>
          <w:sz w:val="24"/>
        </w:rPr>
        <w:t xml:space="preserve"> - индекс, отражающий уровень недостижения значения i-го результата предоставления субсидии.</w:t>
      </w:r>
    </w:p>
    <w:p>
      <w:pPr>
        <w:pStyle w:val="0"/>
        <w:spacing w:before="240" w:lineRule="auto"/>
        <w:ind w:firstLine="540"/>
        <w:jc w:val="both"/>
      </w:pPr>
      <w:r>
        <w:rPr>
          <w:sz w:val="24"/>
        </w:rPr>
        <w:t xml:space="preserve">При расчете коэффициента возврата средств субсидии используются только положительные значения индекса, отражающего уровень недостижения значения i-го результата предоставления субсидии.</w:t>
      </w:r>
    </w:p>
    <w:p>
      <w:pPr>
        <w:pStyle w:val="0"/>
        <w:jc w:val="both"/>
      </w:pPr>
      <w:r>
        <w:rPr>
          <w:sz w:val="24"/>
        </w:rPr>
        <w:t xml:space="preserve">(в ред. </w:t>
      </w:r>
      <w:hyperlink w:history="0" r:id="rId64"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rPr>
        <w:t xml:space="preserve"> Кабинета Министров ЧР от 10.06.2026 N 379)</w:t>
      </w:r>
    </w:p>
    <w:p>
      <w:pPr>
        <w:pStyle w:val="0"/>
        <w:spacing w:before="240" w:lineRule="auto"/>
        <w:ind w:firstLine="540"/>
        <w:jc w:val="both"/>
      </w:pPr>
      <w:r>
        <w:rPr>
          <w:sz w:val="24"/>
        </w:rPr>
        <w:t xml:space="preserve">Индекс, отражающий уровень недостижения значения i-го результата предоставления субсидии, определяется по формуле</w:t>
      </w:r>
    </w:p>
    <w:p>
      <w:pPr>
        <w:pStyle w:val="0"/>
        <w:jc w:val="both"/>
      </w:pPr>
      <w:r>
        <w:rPr>
          <w:sz w:val="24"/>
        </w:rPr>
      </w:r>
    </w:p>
    <w:p>
      <w:pPr>
        <w:pStyle w:val="0"/>
        <w:ind w:firstLine="540"/>
        <w:jc w:val="both"/>
      </w:pPr>
      <w:r>
        <w:rPr>
          <w:sz w:val="24"/>
        </w:rPr>
        <w:t xml:space="preserve">D</w:t>
      </w:r>
      <w:r>
        <w:rPr>
          <w:sz w:val="24"/>
          <w:vertAlign w:val="subscript"/>
        </w:rPr>
        <w:t xml:space="preserve">i</w:t>
      </w:r>
      <w:r>
        <w:rPr>
          <w:sz w:val="24"/>
        </w:rPr>
        <w:t xml:space="preserve"> = 1 - Т</w:t>
      </w:r>
      <w:r>
        <w:rPr>
          <w:sz w:val="24"/>
          <w:vertAlign w:val="subscript"/>
        </w:rPr>
        <w:t xml:space="preserve">i</w:t>
      </w:r>
      <w:r>
        <w:rPr>
          <w:sz w:val="24"/>
        </w:rPr>
        <w:t xml:space="preserve"> / S</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Т</w:t>
      </w:r>
      <w:r>
        <w:rPr>
          <w:sz w:val="24"/>
          <w:vertAlign w:val="subscript"/>
        </w:rPr>
        <w:t xml:space="preserve">i</w:t>
      </w:r>
      <w:r>
        <w:rPr>
          <w:sz w:val="24"/>
        </w:rPr>
        <w:t xml:space="preserve"> - фактически достигнутое значение i-го результата предоставления субсидии на отчетную дату;</w:t>
      </w:r>
    </w:p>
    <w:p>
      <w:pPr>
        <w:pStyle w:val="0"/>
        <w:spacing w:before="240" w:lineRule="auto"/>
        <w:ind w:firstLine="540"/>
        <w:jc w:val="both"/>
      </w:pPr>
      <w:r>
        <w:rPr>
          <w:sz w:val="24"/>
        </w:rPr>
        <w:t xml:space="preserve">S</w:t>
      </w:r>
      <w:r>
        <w:rPr>
          <w:sz w:val="24"/>
          <w:vertAlign w:val="subscript"/>
        </w:rPr>
        <w:t xml:space="preserve">i</w:t>
      </w:r>
      <w:r>
        <w:rPr>
          <w:sz w:val="24"/>
        </w:rPr>
        <w:t xml:space="preserve"> - плановое значение i-го результата предоставления субсидии, установленное соглашением.</w:t>
      </w:r>
    </w:p>
    <w:p>
      <w:pPr>
        <w:pStyle w:val="0"/>
        <w:spacing w:before="240" w:lineRule="auto"/>
        <w:ind w:firstLine="540"/>
        <w:jc w:val="both"/>
      </w:pPr>
      <w:r>
        <w:rPr>
          <w:sz w:val="24"/>
        </w:rPr>
        <w:t xml:space="preserve">Основанием для освобождения получателя субсидии от применения мер ответственности, предусмотренных настоящим пунктом, является документально подтвержденное наступление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значений результата предоставления субсидии, является невозможным.</w:t>
      </w:r>
    </w:p>
    <w:p>
      <w:pPr>
        <w:pStyle w:val="0"/>
        <w:spacing w:before="240" w:lineRule="auto"/>
        <w:ind w:firstLine="540"/>
        <w:jc w:val="both"/>
      </w:pPr>
      <w:r>
        <w:rPr>
          <w:sz w:val="24"/>
        </w:rPr>
        <w:t xml:space="preserve">Обстоятельством непреодолимой силы является установление регионального и (или) местного уровня реагирования на чрезвычайную ситуацию, подтвержденное правовым актом Чувашской Республики и (или) органа местного самоуправления.</w:t>
      </w:r>
    </w:p>
    <w:p>
      <w:pPr>
        <w:pStyle w:val="0"/>
        <w:spacing w:before="240" w:lineRule="auto"/>
        <w:ind w:firstLine="540"/>
        <w:jc w:val="both"/>
      </w:pPr>
      <w:r>
        <w:rPr>
          <w:sz w:val="24"/>
        </w:rPr>
        <w:t xml:space="preserve">Документы, подтверждающие наступление обстоятельств непреодолимой силы, препятствующих исполнению соответствующих обязательств, представляются получателем субсидии вместе с отчетом о достижении значений результата предоставления субсидии.</w:t>
      </w:r>
    </w:p>
    <w:p>
      <w:pPr>
        <w:pStyle w:val="0"/>
        <w:spacing w:before="240" w:lineRule="auto"/>
        <w:ind w:firstLine="540"/>
        <w:jc w:val="both"/>
      </w:pPr>
      <w:r>
        <w:rPr>
          <w:sz w:val="24"/>
        </w:rPr>
        <w:t xml:space="preserve">5.4. В случае если получатель субсидии не возвращает бюджетные средства, полученные в виде субсидии, в республиканский бюджет Чувашской Республики в установленный срок или отказывается от добровольного возврата указанных средств, они взыскиваются в судебном порядке. Получатель субсидии в дальнейшем лишается права на получение субсидии из республиканского бюджета Чувашской Республики.</w:t>
      </w:r>
    </w:p>
    <w:p>
      <w:pPr>
        <w:pStyle w:val="0"/>
        <w:spacing w:before="240" w:lineRule="auto"/>
        <w:ind w:firstLine="540"/>
        <w:jc w:val="both"/>
      </w:pPr>
      <w:r>
        <w:rPr>
          <w:sz w:val="24"/>
        </w:rPr>
        <w:t xml:space="preserve">5.5. В случае выявления фактов нарушения иных обязательств, предусмотренных соглашением, получатель субсидии уплачивает в республиканский бюджет Чувашской Республики штраф в размере 0,1 процента от суммы субсидии за каждый выявленный факт нарушения.</w:t>
      </w:r>
    </w:p>
    <w:p>
      <w:pPr>
        <w:pStyle w:val="0"/>
        <w:jc w:val="both"/>
      </w:pPr>
      <w:r>
        <w:rPr>
          <w:sz w:val="24"/>
        </w:rPr>
      </w:r>
    </w:p>
    <w:p>
      <w:pPr>
        <w:pStyle w:val="2"/>
        <w:outlineLvl w:val="1"/>
        <w:jc w:val="center"/>
      </w:pPr>
      <w:r>
        <w:rPr>
          <w:sz w:val="24"/>
        </w:rPr>
        <w:t xml:space="preserve">VI. Осуществление контроля (мониторинга)</w:t>
      </w:r>
    </w:p>
    <w:p>
      <w:pPr>
        <w:pStyle w:val="0"/>
        <w:jc w:val="both"/>
      </w:pPr>
      <w:r>
        <w:rPr>
          <w:sz w:val="24"/>
        </w:rPr>
      </w:r>
    </w:p>
    <w:p>
      <w:pPr>
        <w:pStyle w:val="0"/>
        <w:ind w:firstLine="540"/>
        <w:jc w:val="both"/>
      </w:pPr>
      <w:r>
        <w:rPr>
          <w:sz w:val="24"/>
        </w:rPr>
        <w:t xml:space="preserve">Минпромэнерго Чувашии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w:t>
      </w:r>
    </w:p>
    <w:p>
      <w:pPr>
        <w:pStyle w:val="0"/>
        <w:spacing w:before="240" w:lineRule="auto"/>
        <w:ind w:firstLine="540"/>
        <w:jc w:val="both"/>
      </w:pPr>
      <w:r>
        <w:rPr>
          <w:sz w:val="24"/>
        </w:rPr>
        <w:t xml:space="preserve">Органы государственного финансового контроля осуществляют проверку в соответствии со </w:t>
      </w:r>
      <w:hyperlink w:history="0" r:id="rId6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268.1</w:t>
        </w:r>
      </w:hyperlink>
      <w:r>
        <w:rPr>
          <w:sz w:val="24"/>
        </w:rPr>
        <w:t xml:space="preserve"> и </w:t>
      </w:r>
      <w:hyperlink w:history="0" r:id="rId6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В случае выявления по итогам проверки, проведенной Минпромэнерго Чувашии и (или) органами государственного финансового контроля, факта нарушения получателем субсидии условий предоставления субсидии, в том числе в части достижения значений результата предоставления субсидии, которые установлены соглашением, возврат субсидии производится в порядке, установленном </w:t>
      </w:r>
      <w:hyperlink w:history="0" w:anchor="P312" w:tooltip="V. Порядок возврата средств субсидии">
        <w:r>
          <w:rPr>
            <w:sz w:val="24"/>
            <w:color w:val="0000ff"/>
          </w:rPr>
          <w:t xml:space="preserve">разделом V</w:t>
        </w:r>
      </w:hyperlink>
      <w:r>
        <w:rPr>
          <w:sz w:val="24"/>
        </w:rPr>
        <w:t xml:space="preserve"> настоящих Правил.</w:t>
      </w:r>
    </w:p>
    <w:p>
      <w:pPr>
        <w:pStyle w:val="0"/>
        <w:spacing w:before="240" w:lineRule="auto"/>
        <w:ind w:firstLine="540"/>
        <w:jc w:val="both"/>
      </w:pPr>
      <w:r>
        <w:rPr>
          <w:sz w:val="24"/>
        </w:rPr>
        <w:t xml:space="preserve">Минпромэнерго Чувашии проводит мониторинг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предоставления субсидии, установленным Минфином России.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p>
      <w:pPr>
        <w:pStyle w:val="1"/>
        <w:jc w:val="both"/>
      </w:pPr>
      <w:r>
        <w:rPr>
          <w:sz w:val="20"/>
        </w:rPr>
        <w:t xml:space="preserve">                                         Министерство промышленности</w:t>
      </w:r>
    </w:p>
    <w:p>
      <w:pPr>
        <w:pStyle w:val="1"/>
        <w:jc w:val="both"/>
      </w:pPr>
      <w:r>
        <w:rPr>
          <w:sz w:val="20"/>
        </w:rPr>
        <w:t xml:space="preserve">                                      и энергетики Чувашской Республики</w:t>
      </w:r>
    </w:p>
    <w:p>
      <w:pPr>
        <w:pStyle w:val="1"/>
        <w:jc w:val="both"/>
      </w:pPr>
      <w:r>
        <w:rPr>
          <w:sz w:val="20"/>
        </w:rPr>
        <w:t xml:space="preserve">                                  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                                  _________________________________________</w:t>
      </w:r>
    </w:p>
    <w:p>
      <w:pPr>
        <w:pStyle w:val="1"/>
        <w:jc w:val="both"/>
      </w:pPr>
      <w:r>
        <w:rPr>
          <w:sz w:val="20"/>
        </w:rPr>
        <w:t xml:space="preserve">                                   фамилия, имя, отчество (последнее - при</w:t>
      </w:r>
    </w:p>
    <w:p>
      <w:pPr>
        <w:pStyle w:val="1"/>
        <w:jc w:val="both"/>
      </w:pPr>
      <w:r>
        <w:rPr>
          <w:sz w:val="20"/>
        </w:rPr>
        <w:t xml:space="preserve">                                  _________________________________________</w:t>
      </w:r>
    </w:p>
    <w:p>
      <w:pPr>
        <w:pStyle w:val="1"/>
        <w:jc w:val="both"/>
      </w:pPr>
      <w:r>
        <w:rPr>
          <w:sz w:val="20"/>
        </w:rPr>
        <w:t xml:space="preserve">                                  наличии) индивидуального предпринимателя)</w:t>
      </w:r>
    </w:p>
    <w:p>
      <w:pPr>
        <w:pStyle w:val="1"/>
        <w:jc w:val="both"/>
      </w:pPr>
      <w:r>
        <w:rPr>
          <w:sz w:val="20"/>
        </w:rPr>
        <w:t xml:space="preserve">                                  ИНН _____________________________________</w:t>
      </w:r>
    </w:p>
    <w:p>
      <w:pPr>
        <w:pStyle w:val="1"/>
        <w:jc w:val="both"/>
      </w:pPr>
      <w:r>
        <w:rPr>
          <w:sz w:val="20"/>
        </w:rPr>
        <w:t xml:space="preserve">                                  Юридический адрес _______________________</w:t>
      </w:r>
    </w:p>
    <w:p>
      <w:pPr>
        <w:pStyle w:val="1"/>
        <w:jc w:val="both"/>
      </w:pPr>
      <w:r>
        <w:rPr>
          <w:sz w:val="20"/>
        </w:rPr>
        <w:t xml:space="preserve">                                  _________________________________________</w:t>
      </w:r>
    </w:p>
    <w:p>
      <w:pPr>
        <w:pStyle w:val="1"/>
        <w:jc w:val="both"/>
      </w:pPr>
      <w:r>
        <w:rPr>
          <w:sz w:val="20"/>
        </w:rPr>
        <w:t xml:space="preserve">                                  Контактный телефон ______________________</w:t>
      </w:r>
    </w:p>
    <w:p>
      <w:pPr>
        <w:pStyle w:val="1"/>
        <w:jc w:val="both"/>
      </w:pPr>
      <w:r>
        <w:rPr>
          <w:sz w:val="20"/>
        </w:rPr>
        <w:t xml:space="preserve">                                  Адрес электронной почты _________________</w:t>
      </w:r>
    </w:p>
    <w:p>
      <w:pPr>
        <w:pStyle w:val="1"/>
        <w:jc w:val="both"/>
      </w:pPr>
      <w:r>
        <w:rPr>
          <w:sz w:val="20"/>
        </w:rPr>
      </w:r>
    </w:p>
    <w:bookmarkStart w:id="398" w:name="P398"/>
    <w:bookmarkEnd w:id="398"/>
    <w:p>
      <w:pPr>
        <w:pStyle w:val="1"/>
        <w:jc w:val="both"/>
      </w:pPr>
      <w:r>
        <w:rPr>
          <w:sz w:val="20"/>
        </w:rPr>
        <w:t xml:space="preserve">                                 ЗАЯВЛЕНИЕ</w:t>
      </w:r>
    </w:p>
    <w:p>
      <w:pPr>
        <w:pStyle w:val="1"/>
        <w:jc w:val="both"/>
      </w:pPr>
      <w:r>
        <w:rPr>
          <w:sz w:val="20"/>
        </w:rPr>
        <w:t xml:space="preserve">           о предоставлении субсидии из республиканского бюджета</w:t>
      </w:r>
    </w:p>
    <w:p>
      <w:pPr>
        <w:pStyle w:val="1"/>
        <w:jc w:val="both"/>
      </w:pPr>
      <w:r>
        <w:rPr>
          <w:sz w:val="20"/>
        </w:rPr>
        <w:t xml:space="preserve">          Чувашской Республики юридическим лицам и индивидуальным</w:t>
      </w:r>
    </w:p>
    <w:p>
      <w:pPr>
        <w:pStyle w:val="1"/>
        <w:jc w:val="both"/>
      </w:pPr>
      <w:r>
        <w:rPr>
          <w:sz w:val="20"/>
        </w:rPr>
        <w:t xml:space="preserve">        предпринимателям на возмещение части затрат по приобретению</w:t>
      </w:r>
    </w:p>
    <w:p>
      <w:pPr>
        <w:pStyle w:val="1"/>
        <w:jc w:val="both"/>
      </w:pPr>
      <w:r>
        <w:rPr>
          <w:sz w:val="20"/>
        </w:rPr>
        <w:t xml:space="preserve">         нового технологического оборудования в рамках реализации</w:t>
      </w:r>
    </w:p>
    <w:p>
      <w:pPr>
        <w:pStyle w:val="1"/>
        <w:jc w:val="both"/>
      </w:pPr>
      <w:r>
        <w:rPr>
          <w:sz w:val="20"/>
        </w:rPr>
        <w:t xml:space="preserve">        инвестиционных проектов в рамках реализации индивидуальной</w:t>
      </w:r>
    </w:p>
    <w:p>
      <w:pPr>
        <w:pStyle w:val="1"/>
        <w:jc w:val="both"/>
      </w:pPr>
      <w:r>
        <w:rPr>
          <w:sz w:val="20"/>
        </w:rPr>
        <w:t xml:space="preserve">                программы социально-экономического развития</w:t>
      </w:r>
    </w:p>
    <w:p>
      <w:pPr>
        <w:pStyle w:val="1"/>
        <w:jc w:val="both"/>
      </w:pPr>
      <w:r>
        <w:rPr>
          <w:sz w:val="20"/>
        </w:rPr>
        <w:t xml:space="preserve">                           Чувашской Республики</w:t>
      </w:r>
    </w:p>
    <w:p>
      <w:pPr>
        <w:pStyle w:val="1"/>
        <w:jc w:val="both"/>
      </w:pPr>
      <w:r>
        <w:rPr>
          <w:sz w:val="20"/>
        </w:rPr>
      </w:r>
    </w:p>
    <w:p>
      <w:pPr>
        <w:pStyle w:val="1"/>
        <w:jc w:val="both"/>
      </w:pPr>
      <w:r>
        <w:rPr>
          <w:sz w:val="20"/>
        </w:rPr>
        <w:t xml:space="preserve">    Прошу  предоставить  субсидию  из  республиканского  бюджета  Чувашской</w:t>
      </w:r>
    </w:p>
    <w:p>
      <w:pPr>
        <w:pStyle w:val="1"/>
        <w:jc w:val="both"/>
      </w:pPr>
      <w:r>
        <w:rPr>
          <w:sz w:val="20"/>
        </w:rPr>
        <w:t xml:space="preserve">Республики    на   возмещение   части   затрат   по   приобретению   нового</w:t>
      </w:r>
    </w:p>
    <w:p>
      <w:pPr>
        <w:pStyle w:val="1"/>
        <w:jc w:val="both"/>
      </w:pPr>
      <w:r>
        <w:rPr>
          <w:sz w:val="20"/>
        </w:rPr>
        <w:t xml:space="preserve">технологического оборудования в рамках реализации инвестиционных проектов в</w:t>
      </w:r>
    </w:p>
    <w:p>
      <w:pPr>
        <w:pStyle w:val="1"/>
        <w:jc w:val="both"/>
      </w:pPr>
      <w:r>
        <w:rPr>
          <w:sz w:val="20"/>
        </w:rPr>
        <w:t xml:space="preserve">рамках   реализации   индивидуальной   программы   социально-экономического</w:t>
      </w:r>
    </w:p>
    <w:p>
      <w:pPr>
        <w:pStyle w:val="1"/>
        <w:jc w:val="both"/>
      </w:pPr>
      <w:r>
        <w:rPr>
          <w:sz w:val="20"/>
        </w:rPr>
        <w:t xml:space="preserve">развития Чувашской Республики</w:t>
      </w:r>
    </w:p>
    <w:p>
      <w:pPr>
        <w:pStyle w:val="1"/>
        <w:jc w:val="both"/>
      </w:pPr>
      <w:r>
        <w:rPr>
          <w:sz w:val="20"/>
        </w:rPr>
        <w:t xml:space="preserve">    Подтверждаем(ю), что __________________________________________________</w:t>
      </w:r>
    </w:p>
    <w:p>
      <w:pPr>
        <w:pStyle w:val="1"/>
        <w:jc w:val="both"/>
      </w:pPr>
      <w:r>
        <w:rPr>
          <w:sz w:val="20"/>
        </w:rPr>
        <w:t xml:space="preserve">                          (полное наименование юридического лица, фамилия,</w:t>
      </w:r>
    </w:p>
    <w:p>
      <w:pPr>
        <w:pStyle w:val="1"/>
        <w:jc w:val="both"/>
      </w:pPr>
      <w:r>
        <w:rPr>
          <w:sz w:val="20"/>
        </w:rPr>
        <w:t xml:space="preserve">___________________________________________________________________________</w:t>
      </w:r>
    </w:p>
    <w:p>
      <w:pPr>
        <w:pStyle w:val="1"/>
        <w:jc w:val="both"/>
      </w:pPr>
      <w:r>
        <w:rPr>
          <w:sz w:val="20"/>
        </w:rPr>
        <w:t xml:space="preserve"> имя, отчество (последнее - при наличии) индивидуального предпринимателя)</w:t>
      </w:r>
    </w:p>
    <w:p>
      <w:pPr>
        <w:pStyle w:val="1"/>
        <w:jc w:val="both"/>
      </w:pPr>
      <w:r>
        <w:rPr>
          <w:sz w:val="20"/>
        </w:rPr>
        <w:t xml:space="preserve">является   субъектом   в   сфере   промышленности,   зарегистрированным   в</w:t>
      </w:r>
    </w:p>
    <w:p>
      <w:pPr>
        <w:pStyle w:val="1"/>
        <w:jc w:val="both"/>
      </w:pPr>
      <w:r>
        <w:rPr>
          <w:sz w:val="20"/>
        </w:rPr>
        <w:t xml:space="preserve">установленном    законодательством    Российской    Федерации   порядке   и</w:t>
      </w:r>
    </w:p>
    <w:p>
      <w:pPr>
        <w:pStyle w:val="1"/>
        <w:jc w:val="both"/>
      </w:pPr>
      <w:r>
        <w:rPr>
          <w:sz w:val="20"/>
        </w:rPr>
        <w:t xml:space="preserve">осуществляющим   деятельность   на   территории   Чувашской   Республики  с</w:t>
      </w:r>
    </w:p>
    <w:p>
      <w:pPr>
        <w:pStyle w:val="1"/>
        <w:jc w:val="both"/>
      </w:pPr>
      <w:r>
        <w:rPr>
          <w:sz w:val="20"/>
        </w:rPr>
        <w:t xml:space="preserve">________________________________________________________________________г.;</w:t>
      </w:r>
    </w:p>
    <w:p>
      <w:pPr>
        <w:pStyle w:val="1"/>
        <w:jc w:val="both"/>
      </w:pPr>
      <w:r>
        <w:rPr>
          <w:sz w:val="20"/>
        </w:rPr>
        <w:t xml:space="preserve">      (дата регистрации организации, индивидуального предпринимателя)</w:t>
      </w:r>
    </w:p>
    <w:p>
      <w:pPr>
        <w:pStyle w:val="1"/>
        <w:jc w:val="both"/>
      </w:pPr>
      <w:r>
        <w:rPr>
          <w:sz w:val="20"/>
        </w:rPr>
        <w:t xml:space="preserve">    в  рамках  реализации  инвестиционного  проекта (резюме инвестиционного</w:t>
      </w:r>
    </w:p>
    <w:p>
      <w:pPr>
        <w:pStyle w:val="1"/>
        <w:jc w:val="both"/>
      </w:pPr>
      <w:r>
        <w:rPr>
          <w:sz w:val="20"/>
        </w:rPr>
        <w:t xml:space="preserve">проекта  прилагается к настоящему заявлению) заключил(о) договор (договоры)</w:t>
      </w:r>
    </w:p>
    <w:p>
      <w:pPr>
        <w:pStyle w:val="1"/>
        <w:jc w:val="both"/>
      </w:pPr>
      <w:r>
        <w:rPr>
          <w:sz w:val="20"/>
        </w:rPr>
        <w:t xml:space="preserve">поставки  и  (или)  купли-продажи нового технологического оборудования, код</w:t>
      </w:r>
    </w:p>
    <w:p>
      <w:pPr>
        <w:pStyle w:val="1"/>
        <w:jc w:val="both"/>
      </w:pPr>
      <w:r>
        <w:rPr>
          <w:sz w:val="20"/>
        </w:rPr>
        <w:t xml:space="preserve">продукции  соответствует Общероссийскому классификатору видов экономической</w:t>
      </w:r>
    </w:p>
    <w:p>
      <w:pPr>
        <w:pStyle w:val="1"/>
        <w:jc w:val="both"/>
      </w:pPr>
      <w:r>
        <w:rPr>
          <w:sz w:val="20"/>
        </w:rPr>
        <w:t xml:space="preserve">деятельности  (ОКВЭД):  </w:t>
      </w:r>
      <w:hyperlink w:history="0" r:id="rId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10.51</w:t>
        </w:r>
      </w:hyperlink>
      <w:r>
        <w:rPr>
          <w:sz w:val="20"/>
        </w:rPr>
        <w:t xml:space="preserve">  производство  побочных продуктов переработки</w:t>
      </w:r>
    </w:p>
    <w:p>
      <w:pPr>
        <w:pStyle w:val="1"/>
        <w:jc w:val="both"/>
      </w:pPr>
      <w:r>
        <w:rPr>
          <w:sz w:val="20"/>
        </w:rPr>
        <w:t xml:space="preserve">молока  (казеина,  сахара  молочного,  молочной  сыворотки  и т.п.); </w:t>
      </w:r>
      <w:hyperlink w:history="0" r:id="rId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10.61</w:t>
        </w:r>
      </w:hyperlink>
      <w:r>
        <w:rPr>
          <w:sz w:val="20"/>
        </w:rPr>
        <w:t xml:space="preserve">;</w:t>
      </w:r>
    </w:p>
    <w:p>
      <w:pPr>
        <w:pStyle w:val="1"/>
        <w:jc w:val="both"/>
      </w:pPr>
      <w:hyperlink w:history="0" r:id="rId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10.71</w:t>
        </w:r>
      </w:hyperlink>
      <w:r>
        <w:rPr>
          <w:sz w:val="20"/>
        </w:rPr>
        <w:t xml:space="preserve">; </w:t>
      </w:r>
      <w:hyperlink w:history="0" r:id="rId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10.72</w:t>
        </w:r>
      </w:hyperlink>
      <w:r>
        <w:rPr>
          <w:sz w:val="20"/>
        </w:rPr>
        <w:t xml:space="preserve">; </w:t>
      </w:r>
      <w:hyperlink w:history="0" r:id="rId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10.73</w:t>
        </w:r>
      </w:hyperlink>
      <w:r>
        <w:rPr>
          <w:sz w:val="20"/>
        </w:rPr>
        <w:t xml:space="preserve">; </w:t>
      </w:r>
      <w:hyperlink w:history="0" r:id="rId7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10.86.5</w:t>
        </w:r>
      </w:hyperlink>
      <w:r>
        <w:rPr>
          <w:sz w:val="20"/>
        </w:rPr>
        <w:t xml:space="preserve">; </w:t>
      </w:r>
      <w:hyperlink w:history="0" r:id="rId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10.86.64</w:t>
        </w:r>
      </w:hyperlink>
      <w:r>
        <w:rPr>
          <w:sz w:val="20"/>
        </w:rPr>
        <w:t xml:space="preserve">;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10.89.4</w:t>
        </w:r>
      </w:hyperlink>
      <w:r>
        <w:rPr>
          <w:sz w:val="20"/>
        </w:rPr>
        <w:t xml:space="preserve">;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10.89.8</w:t>
        </w:r>
      </w:hyperlink>
      <w:r>
        <w:rPr>
          <w:sz w:val="20"/>
        </w:rPr>
        <w:t xml:space="preserve">; </w:t>
      </w:r>
      <w:hyperlink w:history="0" r:id="rId7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10.91.3</w:t>
        </w:r>
      </w:hyperlink>
      <w:r>
        <w:rPr>
          <w:sz w:val="20"/>
        </w:rPr>
        <w:t xml:space="preserve">;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13</w:t>
        </w:r>
      </w:hyperlink>
      <w:r>
        <w:rPr>
          <w:sz w:val="20"/>
        </w:rPr>
        <w:t xml:space="preserve"> - </w:t>
      </w:r>
      <w:hyperlink w:history="0" r:id="rId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17</w:t>
        </w:r>
      </w:hyperlink>
      <w:r>
        <w:rPr>
          <w:sz w:val="20"/>
        </w:rPr>
        <w:t xml:space="preserve">;</w:t>
      </w:r>
    </w:p>
    <w:p>
      <w:pPr>
        <w:pStyle w:val="1"/>
        <w:jc w:val="both"/>
      </w:pP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20</w:t>
        </w:r>
      </w:hyperlink>
      <w:r>
        <w:rPr>
          <w:sz w:val="20"/>
        </w:rPr>
        <w:t xml:space="preserve">  (за  исключением  подгрупп  </w:t>
      </w:r>
      <w:hyperlink w:history="0" r:id="rId8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20.14.1</w:t>
        </w:r>
      </w:hyperlink>
      <w:r>
        <w:rPr>
          <w:sz w:val="20"/>
        </w:rPr>
        <w:t xml:space="preserve">;  </w:t>
      </w:r>
      <w:hyperlink w:history="0" r:id="rId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20.15.8</w:t>
        </w:r>
      </w:hyperlink>
      <w:r>
        <w:rPr>
          <w:sz w:val="20"/>
        </w:rPr>
        <w:t xml:space="preserve">; </w:t>
      </w:r>
      <w:hyperlink w:history="0" r:id="rId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20.59.2</w:t>
        </w:r>
      </w:hyperlink>
      <w:r>
        <w:rPr>
          <w:sz w:val="20"/>
        </w:rPr>
        <w:t xml:space="preserve">;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20.59.6</w:t>
        </w:r>
      </w:hyperlink>
      <w:r>
        <w:rPr>
          <w:sz w:val="20"/>
        </w:rPr>
        <w:t xml:space="preserve">), в том</w:t>
      </w:r>
    </w:p>
    <w:p>
      <w:pPr>
        <w:pStyle w:val="1"/>
        <w:jc w:val="both"/>
      </w:pPr>
      <w:r>
        <w:rPr>
          <w:sz w:val="20"/>
        </w:rPr>
        <w:t xml:space="preserve">числе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20.53</w:t>
        </w:r>
      </w:hyperlink>
      <w:r>
        <w:rPr>
          <w:sz w:val="20"/>
        </w:rPr>
        <w:t xml:space="preserve">  (за  исключением  используемых  для  производства  продуктов</w:t>
      </w:r>
    </w:p>
    <w:p>
      <w:pPr>
        <w:pStyle w:val="1"/>
        <w:jc w:val="both"/>
      </w:pPr>
      <w:r>
        <w:rPr>
          <w:sz w:val="20"/>
        </w:rPr>
        <w:t xml:space="preserve">питания); </w:t>
      </w:r>
      <w:hyperlink w:history="0" r:id="rId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21</w:t>
        </w:r>
      </w:hyperlink>
      <w:r>
        <w:rPr>
          <w:sz w:val="20"/>
        </w:rPr>
        <w:t xml:space="preserve"> - </w:t>
      </w:r>
      <w:hyperlink w:history="0" r:id="rId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33</w:t>
        </w:r>
      </w:hyperlink>
      <w:r>
        <w:rPr>
          <w:sz w:val="20"/>
        </w:rPr>
        <w:t xml:space="preserve"> (за исключением группы </w:t>
      </w:r>
      <w:hyperlink w:history="0" r:id="rId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24.46</w:t>
        </w:r>
      </w:hyperlink>
      <w:r>
        <w:rPr>
          <w:sz w:val="20"/>
        </w:rPr>
        <w:t xml:space="preserve">) ___________________________</w:t>
      </w:r>
    </w:p>
    <w:p>
      <w:pPr>
        <w:pStyle w:val="1"/>
        <w:jc w:val="both"/>
      </w:pPr>
      <w:r>
        <w:rPr>
          <w:sz w:val="20"/>
        </w:rPr>
        <w:t xml:space="preserve">                                                    (нужное подчеркнуть)</w:t>
      </w:r>
    </w:p>
    <w:p>
      <w:pPr>
        <w:pStyle w:val="1"/>
        <w:jc w:val="both"/>
      </w:pPr>
      <w:r>
        <w:rPr>
          <w:sz w:val="20"/>
        </w:rPr>
        <w:t xml:space="preserve">    Даем(ю)  согласие  на  представление  сведений,  составляющих налоговую</w:t>
      </w:r>
    </w:p>
    <w:p>
      <w:pPr>
        <w:pStyle w:val="1"/>
        <w:jc w:val="both"/>
      </w:pPr>
      <w:r>
        <w:rPr>
          <w:sz w:val="20"/>
        </w:rPr>
        <w:t xml:space="preserve">тайну, в соответствии с </w:t>
      </w:r>
      <w:hyperlink w:history="0" r:id="rId88" w:tooltip="&quot;Налоговый кодекс Российской Федерации (часть первая)&quot; от 31.07.1998 N 146-ФЗ (ред. от 26.06.2026) (с изм. и доп., вступ. в силу с 01.07.2026) {КонсультантПлюс}">
        <w:r>
          <w:rPr>
            <w:sz w:val="20"/>
            <w:color w:val="0000ff"/>
          </w:rPr>
          <w:t xml:space="preserve">подпунктом 1 пункта 1 статьи 102</w:t>
        </w:r>
      </w:hyperlink>
      <w:r>
        <w:rPr>
          <w:sz w:val="20"/>
        </w:rPr>
        <w:t xml:space="preserve"> Налогового кодекса</w:t>
      </w:r>
    </w:p>
    <w:p>
      <w:pPr>
        <w:pStyle w:val="1"/>
        <w:jc w:val="both"/>
      </w:pPr>
      <w:r>
        <w:rPr>
          <w:sz w:val="20"/>
        </w:rPr>
        <w:t xml:space="preserve">Российской Федерации.</w:t>
      </w:r>
    </w:p>
    <w:p>
      <w:pPr>
        <w:pStyle w:val="1"/>
        <w:jc w:val="both"/>
      </w:pPr>
      <w:r>
        <w:rPr>
          <w:sz w:val="20"/>
        </w:rPr>
        <w:t xml:space="preserve">    Даем(ю)   согласие  на  осуществление  Министерством  промышленности  и</w:t>
      </w:r>
    </w:p>
    <w:p>
      <w:pPr>
        <w:pStyle w:val="1"/>
        <w:jc w:val="both"/>
      </w:pPr>
      <w:r>
        <w:rPr>
          <w:sz w:val="20"/>
        </w:rPr>
        <w:t xml:space="preserve">энергетики  Чувашской  Республики проверки соблюдения нами (мной) порядка и</w:t>
      </w:r>
    </w:p>
    <w:p>
      <w:pPr>
        <w:pStyle w:val="1"/>
        <w:jc w:val="both"/>
      </w:pPr>
      <w:r>
        <w:rPr>
          <w:sz w:val="20"/>
        </w:rPr>
        <w:t xml:space="preserve">условий  предоставления субсидии, в том числе в части достижения результата</w:t>
      </w:r>
    </w:p>
    <w:p>
      <w:pPr>
        <w:pStyle w:val="1"/>
        <w:jc w:val="both"/>
      </w:pPr>
      <w:r>
        <w:rPr>
          <w:sz w:val="20"/>
        </w:rPr>
        <w:t xml:space="preserve">предоставления   субсидии,   а  также  проверки  органами  государственного</w:t>
      </w:r>
    </w:p>
    <w:p>
      <w:pPr>
        <w:pStyle w:val="1"/>
        <w:jc w:val="both"/>
      </w:pPr>
      <w:r>
        <w:rPr>
          <w:sz w:val="20"/>
        </w:rPr>
        <w:t xml:space="preserve">финансового  контроля  в  соответствии со </w:t>
      </w:r>
      <w:hyperlink w:history="0" r:id="rId8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и </w:t>
      </w:r>
      <w:hyperlink w:history="0" r:id="rId9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w:t>
      </w:r>
    </w:p>
    <w:p>
      <w:pPr>
        <w:pStyle w:val="1"/>
        <w:jc w:val="both"/>
      </w:pPr>
      <w:r>
        <w:rPr>
          <w:sz w:val="20"/>
        </w:rPr>
        <w:t xml:space="preserve">кодекса Российской Федерации.</w:t>
      </w:r>
    </w:p>
    <w:p>
      <w:pPr>
        <w:pStyle w:val="1"/>
        <w:jc w:val="both"/>
      </w:pPr>
      <w:r>
        <w:rPr>
          <w:sz w:val="20"/>
        </w:rPr>
        <w:t xml:space="preserve">    Платежные реквизиты для перечисления субсидии: ________________________</w:t>
      </w:r>
    </w:p>
    <w:p>
      <w:pPr>
        <w:pStyle w:val="1"/>
        <w:jc w:val="both"/>
      </w:pPr>
      <w:r>
        <w:rPr>
          <w:sz w:val="20"/>
        </w:rPr>
        <w:t xml:space="preserve">                                                     (полное наименование</w:t>
      </w:r>
    </w:p>
    <w:p>
      <w:pPr>
        <w:pStyle w:val="1"/>
        <w:jc w:val="both"/>
      </w:pPr>
      <w:r>
        <w:rPr>
          <w:sz w:val="20"/>
        </w:rPr>
        <w:t xml:space="preserve">___________________________________________________________________________</w:t>
      </w:r>
    </w:p>
    <w:p>
      <w:pPr>
        <w:pStyle w:val="1"/>
        <w:jc w:val="both"/>
      </w:pPr>
      <w:r>
        <w:rPr>
          <w:sz w:val="20"/>
        </w:rPr>
        <w:t xml:space="preserve">    юридического лица, фамилия, имя, отчество (последнее - при наличии)</w:t>
      </w:r>
    </w:p>
    <w:p>
      <w:pPr>
        <w:pStyle w:val="1"/>
        <w:jc w:val="both"/>
      </w:pPr>
      <w:r>
        <w:rPr>
          <w:sz w:val="20"/>
        </w:rPr>
        <w:t xml:space="preserve">      индивидуального предпринимателя) в соответствии с регистрацией</w:t>
      </w:r>
    </w:p>
    <w:p>
      <w:pPr>
        <w:pStyle w:val="1"/>
        <w:jc w:val="both"/>
      </w:pPr>
      <w:r>
        <w:rPr>
          <w:sz w:val="20"/>
        </w:rPr>
        <w:t xml:space="preserve">                        в банке для открытия счета)</w:t>
      </w:r>
    </w:p>
    <w:p>
      <w:pPr>
        <w:pStyle w:val="1"/>
        <w:jc w:val="both"/>
      </w:pPr>
      <w:r>
        <w:rPr>
          <w:sz w:val="20"/>
        </w:rPr>
        <w:t xml:space="preserve">счет N ____________________________________________________________________</w:t>
      </w:r>
    </w:p>
    <w:p>
      <w:pPr>
        <w:pStyle w:val="1"/>
        <w:jc w:val="both"/>
      </w:pPr>
      <w:r>
        <w:rPr>
          <w:sz w:val="20"/>
        </w:rPr>
        <w:t xml:space="preserve">в _________________________________________________________________________</w:t>
      </w:r>
    </w:p>
    <w:p>
      <w:pPr>
        <w:pStyle w:val="1"/>
        <w:jc w:val="both"/>
      </w:pPr>
      <w:r>
        <w:rPr>
          <w:sz w:val="20"/>
        </w:rPr>
        <w:t xml:space="preserve">                          (наименование, ИНН банка)</w:t>
      </w:r>
    </w:p>
    <w:p>
      <w:pPr>
        <w:pStyle w:val="1"/>
        <w:jc w:val="both"/>
      </w:pPr>
      <w:r>
        <w:rPr>
          <w:sz w:val="20"/>
        </w:rPr>
        <w:t xml:space="preserve">БИК банка _________________________________________________________________</w:t>
      </w:r>
    </w:p>
    <w:p>
      <w:pPr>
        <w:pStyle w:val="1"/>
        <w:jc w:val="both"/>
      </w:pPr>
      <w:r>
        <w:rPr>
          <w:sz w:val="20"/>
        </w:rPr>
        <w:t xml:space="preserve">Корр. счет банка N _______________________________________________________.</w:t>
      </w:r>
    </w:p>
    <w:p>
      <w:pPr>
        <w:pStyle w:val="1"/>
        <w:jc w:val="both"/>
      </w:pPr>
      <w:r>
        <w:rPr>
          <w:sz w:val="20"/>
        </w:rPr>
      </w:r>
    </w:p>
    <w:p>
      <w:pPr>
        <w:pStyle w:val="1"/>
        <w:jc w:val="both"/>
      </w:pPr>
      <w:r>
        <w:rPr>
          <w:sz w:val="20"/>
        </w:rPr>
        <w:t xml:space="preserve">Руководитель</w:t>
      </w:r>
    </w:p>
    <w:p>
      <w:pPr>
        <w:pStyle w:val="1"/>
        <w:jc w:val="both"/>
      </w:pPr>
      <w:r>
        <w:rPr>
          <w:sz w:val="20"/>
        </w:rPr>
        <w:t xml:space="preserve">(индивидуальный предприниматель) _______________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 20___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1"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color w:val="392c69"/>
              </w:rPr>
              <w:t xml:space="preserve"> Кабинета Министров ЧР от 10.06.2026 N 379)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79" w:name="P479"/>
          <w:bookmarkEnd w:id="479"/>
          <w:p>
            <w:pPr>
              <w:pStyle w:val="0"/>
              <w:jc w:val="center"/>
            </w:pPr>
            <w:r>
              <w:rPr>
                <w:sz w:val="24"/>
                <w:b w:val="on"/>
              </w:rPr>
              <w:t xml:space="preserve">ПОЯСНИТЕЛЬНАЯ ЗАПИСКА</w:t>
            </w:r>
          </w:p>
        </w:tc>
      </w:tr>
      <w:tr>
        <w:tc>
          <w:tcPr>
            <w:tcW w:w="9071" w:type="dxa"/>
            <w:tcBorders>
              <w:top w:val="nil"/>
              <w:left w:val="nil"/>
              <w:bottom w:val="single" w:sz="4"/>
              <w:right w:val="nil"/>
            </w:tcBorders>
          </w:tcPr>
          <w:p>
            <w:pPr>
              <w:pStyle w:val="0"/>
            </w:pPr>
            <w:r>
              <w:rPr>
                <w:sz w:val="24"/>
              </w:rPr>
            </w:r>
          </w:p>
        </w:tc>
      </w:tr>
      <w:tr>
        <w:tblPrEx>
          <w:tblBorders>
            <w:insideH w:val="single" w:sz="4"/>
          </w:tblBorders>
        </w:tblPrEx>
        <w:tc>
          <w:tcPr>
            <w:tcW w:w="9071" w:type="dxa"/>
            <w:tcBorders>
              <w:top w:val="single" w:sz="4"/>
              <w:left w:val="nil"/>
              <w:bottom w:val="nil"/>
              <w:right w:val="nil"/>
            </w:tcBorders>
          </w:tcPr>
          <w:p>
            <w:pPr>
              <w:pStyle w:val="0"/>
              <w:jc w:val="center"/>
            </w:pPr>
            <w:r>
              <w:rPr>
                <w:sz w:val="24"/>
              </w:rPr>
              <w:t xml:space="preserve">(полное наименование юридического лица, фамилия, имя, отчество (последнее - при наличии) индивидуального предпринимателя)</w:t>
            </w:r>
          </w:p>
        </w:tc>
      </w:tr>
    </w:tbl>
    <w:p>
      <w:pPr>
        <w:pStyle w:val="0"/>
        <w:jc w:val="both"/>
      </w:pPr>
      <w:r>
        <w:rPr>
          <w:sz w:val="24"/>
        </w:rPr>
      </w:r>
    </w:p>
    <w:p>
      <w:pPr>
        <w:pStyle w:val="0"/>
        <w:ind w:firstLine="540"/>
        <w:jc w:val="both"/>
      </w:pPr>
      <w:r>
        <w:rPr>
          <w:sz w:val="24"/>
        </w:rPr>
        <w:t xml:space="preserve">1. Информация по заявляемому новому технологическому оборудованию</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10"/>
        <w:gridCol w:w="1924"/>
        <w:gridCol w:w="1757"/>
        <w:gridCol w:w="1757"/>
        <w:gridCol w:w="1354"/>
        <w:gridCol w:w="1757"/>
      </w:tblGrid>
      <w:tr>
        <w:tc>
          <w:tcPr>
            <w:tcW w:w="510" w:type="dxa"/>
            <w:tcBorders>
              <w:left w:val="nil"/>
            </w:tcBorders>
          </w:tcPr>
          <w:p>
            <w:pPr>
              <w:pStyle w:val="0"/>
              <w:jc w:val="center"/>
            </w:pPr>
            <w:r>
              <w:rPr>
                <w:sz w:val="24"/>
              </w:rPr>
              <w:t xml:space="preserve">N пп</w:t>
            </w:r>
          </w:p>
        </w:tc>
        <w:tc>
          <w:tcPr>
            <w:tcW w:w="1924" w:type="dxa"/>
          </w:tcPr>
          <w:p>
            <w:pPr>
              <w:pStyle w:val="0"/>
              <w:jc w:val="center"/>
            </w:pPr>
            <w:r>
              <w:rPr>
                <w:sz w:val="24"/>
              </w:rPr>
              <w:t xml:space="preserve">Наименование нового технологического оборудования, количество (шт.)</w:t>
            </w:r>
          </w:p>
        </w:tc>
        <w:tc>
          <w:tcPr>
            <w:tcW w:w="1757" w:type="dxa"/>
          </w:tcPr>
          <w:p>
            <w:pPr>
              <w:pStyle w:val="0"/>
              <w:jc w:val="center"/>
            </w:pPr>
            <w:r>
              <w:rPr>
                <w:sz w:val="24"/>
              </w:rPr>
              <w:t xml:space="preserve">Код нового технологического оборудования по </w:t>
            </w:r>
            <w:hyperlink w:history="0" r:id="rId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ОКПД2</w:t>
              </w:r>
            </w:hyperlink>
            <w:r>
              <w:rPr>
                <w:sz w:val="24"/>
              </w:rPr>
              <w:t xml:space="preserve"> </w:t>
            </w:r>
            <w:hyperlink w:history="0" w:anchor="P548" w:tooltip="&lt;*&gt; ОКПД2 - общероссийский классификатор продукции по видам экономической деятельности.">
              <w:r>
                <w:rPr>
                  <w:sz w:val="24"/>
                  <w:color w:val="0000ff"/>
                </w:rPr>
                <w:t xml:space="preserve">&lt;*&gt;</w:t>
              </w:r>
            </w:hyperlink>
          </w:p>
        </w:tc>
        <w:tc>
          <w:tcPr>
            <w:tcW w:w="1757" w:type="dxa"/>
          </w:tcPr>
          <w:p>
            <w:pPr>
              <w:pStyle w:val="0"/>
              <w:jc w:val="center"/>
            </w:pPr>
            <w:r>
              <w:rPr>
                <w:sz w:val="24"/>
              </w:rPr>
              <w:t xml:space="preserve">Год выпуска нового технологического оборудования</w:t>
            </w:r>
          </w:p>
        </w:tc>
        <w:tc>
          <w:tcPr>
            <w:tcW w:w="1354" w:type="dxa"/>
          </w:tcPr>
          <w:p>
            <w:pPr>
              <w:pStyle w:val="0"/>
              <w:jc w:val="center"/>
            </w:pPr>
            <w:r>
              <w:rPr>
                <w:sz w:val="24"/>
              </w:rPr>
              <w:t xml:space="preserve">Описание ожидаемого эффекта от внедрения</w:t>
            </w:r>
          </w:p>
        </w:tc>
        <w:tc>
          <w:tcPr>
            <w:tcW w:w="1757" w:type="dxa"/>
            <w:tcBorders>
              <w:right w:val="nil"/>
            </w:tcBorders>
          </w:tcPr>
          <w:p>
            <w:pPr>
              <w:pStyle w:val="0"/>
              <w:jc w:val="center"/>
            </w:pPr>
            <w:r>
              <w:rPr>
                <w:sz w:val="24"/>
              </w:rPr>
              <w:t xml:space="preserve">Местонахождение нового технологического оборудования </w:t>
            </w:r>
            <w:hyperlink w:history="0" w:anchor="P549" w:tooltip="&lt;**&gt; В случае если адрес местонахождения оборудования не совпадает с юридическим (фактическим) местонахождением юридического лица (индивидуального предпринимателя), к пояснительной записке прикладываются документы, обосновывающие его нахождение не по месту нахождения юридического лица (индивидуального предпринимателя) (документ, подтверждающий создание обособленного подразделения, зарегистрированный в установленном порядке договор (договоры) аренды зданий (сооружений) по месту нахождения оборудования).">
              <w:r>
                <w:rPr>
                  <w:sz w:val="24"/>
                  <w:color w:val="0000ff"/>
                </w:rPr>
                <w:t xml:space="preserve">&lt;**&gt;</w:t>
              </w:r>
            </w:hyperlink>
          </w:p>
        </w:tc>
      </w:tr>
      <w:tr>
        <w:tc>
          <w:tcPr>
            <w:tcW w:w="510" w:type="dxa"/>
            <w:tcBorders>
              <w:left w:val="nil"/>
            </w:tcBorders>
          </w:tcPr>
          <w:p>
            <w:pPr>
              <w:pStyle w:val="0"/>
              <w:jc w:val="center"/>
            </w:pPr>
            <w:r>
              <w:rPr>
                <w:sz w:val="24"/>
              </w:rPr>
              <w:t xml:space="preserve">1.</w:t>
            </w:r>
          </w:p>
        </w:tc>
        <w:tc>
          <w:tcPr>
            <w:tcW w:w="1924" w:type="dxa"/>
          </w:tcPr>
          <w:p>
            <w:pPr>
              <w:pStyle w:val="0"/>
            </w:pPr>
            <w:r>
              <w:rPr>
                <w:sz w:val="24"/>
              </w:rPr>
            </w:r>
          </w:p>
        </w:tc>
        <w:tc>
          <w:tcPr>
            <w:tcW w:w="1757" w:type="dxa"/>
          </w:tcPr>
          <w:p>
            <w:pPr>
              <w:pStyle w:val="0"/>
            </w:pPr>
            <w:r>
              <w:rPr>
                <w:sz w:val="24"/>
              </w:rPr>
            </w:r>
          </w:p>
        </w:tc>
        <w:tc>
          <w:tcPr>
            <w:tcW w:w="1757" w:type="dxa"/>
          </w:tcPr>
          <w:p>
            <w:pPr>
              <w:pStyle w:val="0"/>
            </w:pPr>
            <w:r>
              <w:rPr>
                <w:sz w:val="24"/>
              </w:rPr>
            </w:r>
          </w:p>
        </w:tc>
        <w:tc>
          <w:tcPr>
            <w:tcW w:w="1354" w:type="dxa"/>
          </w:tcPr>
          <w:p>
            <w:pPr>
              <w:pStyle w:val="0"/>
            </w:pPr>
            <w:r>
              <w:rPr>
                <w:sz w:val="24"/>
              </w:rPr>
            </w:r>
          </w:p>
        </w:tc>
        <w:tc>
          <w:tcPr>
            <w:tcW w:w="1757" w:type="dxa"/>
            <w:tcBorders>
              <w:right w:val="nil"/>
            </w:tcBorders>
          </w:tcPr>
          <w:p>
            <w:pPr>
              <w:pStyle w:val="0"/>
            </w:pPr>
            <w:r>
              <w:rPr>
                <w:sz w:val="24"/>
              </w:rPr>
            </w:r>
          </w:p>
        </w:tc>
      </w:tr>
      <w:tr>
        <w:tc>
          <w:tcPr>
            <w:tcW w:w="510" w:type="dxa"/>
            <w:tcBorders>
              <w:left w:val="nil"/>
            </w:tcBorders>
          </w:tcPr>
          <w:p>
            <w:pPr>
              <w:pStyle w:val="0"/>
              <w:jc w:val="center"/>
            </w:pPr>
            <w:r>
              <w:rPr>
                <w:sz w:val="24"/>
              </w:rPr>
              <w:t xml:space="preserve">2.</w:t>
            </w:r>
          </w:p>
        </w:tc>
        <w:tc>
          <w:tcPr>
            <w:tcW w:w="1924" w:type="dxa"/>
          </w:tcPr>
          <w:p>
            <w:pPr>
              <w:pStyle w:val="0"/>
            </w:pPr>
            <w:r>
              <w:rPr>
                <w:sz w:val="24"/>
              </w:rPr>
            </w:r>
          </w:p>
        </w:tc>
        <w:tc>
          <w:tcPr>
            <w:tcW w:w="1757" w:type="dxa"/>
          </w:tcPr>
          <w:p>
            <w:pPr>
              <w:pStyle w:val="0"/>
            </w:pPr>
            <w:r>
              <w:rPr>
                <w:sz w:val="24"/>
              </w:rPr>
            </w:r>
          </w:p>
        </w:tc>
        <w:tc>
          <w:tcPr>
            <w:tcW w:w="1757" w:type="dxa"/>
          </w:tcPr>
          <w:p>
            <w:pPr>
              <w:pStyle w:val="0"/>
            </w:pPr>
            <w:r>
              <w:rPr>
                <w:sz w:val="24"/>
              </w:rPr>
            </w:r>
          </w:p>
        </w:tc>
        <w:tc>
          <w:tcPr>
            <w:tcW w:w="1354" w:type="dxa"/>
          </w:tcPr>
          <w:p>
            <w:pPr>
              <w:pStyle w:val="0"/>
            </w:pPr>
            <w:r>
              <w:rPr>
                <w:sz w:val="24"/>
              </w:rPr>
            </w:r>
          </w:p>
        </w:tc>
        <w:tc>
          <w:tcPr>
            <w:tcW w:w="1757" w:type="dxa"/>
            <w:tcBorders>
              <w:right w:val="nil"/>
            </w:tcBorders>
          </w:tcPr>
          <w:p>
            <w:pPr>
              <w:pStyle w:val="0"/>
            </w:pPr>
            <w:r>
              <w:rPr>
                <w:sz w:val="24"/>
              </w:rPr>
            </w:r>
          </w:p>
        </w:tc>
      </w:tr>
      <w:tr>
        <w:tc>
          <w:tcPr>
            <w:tcW w:w="510" w:type="dxa"/>
            <w:tcBorders>
              <w:left w:val="nil"/>
            </w:tcBorders>
          </w:tcPr>
          <w:p>
            <w:pPr>
              <w:pStyle w:val="0"/>
              <w:jc w:val="center"/>
            </w:pPr>
            <w:r>
              <w:rPr>
                <w:sz w:val="24"/>
              </w:rPr>
              <w:t xml:space="preserve">3.</w:t>
            </w:r>
          </w:p>
        </w:tc>
        <w:tc>
          <w:tcPr>
            <w:tcW w:w="1924" w:type="dxa"/>
          </w:tcPr>
          <w:p>
            <w:pPr>
              <w:pStyle w:val="0"/>
            </w:pPr>
            <w:r>
              <w:rPr>
                <w:sz w:val="24"/>
              </w:rPr>
            </w:r>
          </w:p>
        </w:tc>
        <w:tc>
          <w:tcPr>
            <w:tcW w:w="1757" w:type="dxa"/>
          </w:tcPr>
          <w:p>
            <w:pPr>
              <w:pStyle w:val="0"/>
            </w:pPr>
            <w:r>
              <w:rPr>
                <w:sz w:val="24"/>
              </w:rPr>
            </w:r>
          </w:p>
        </w:tc>
        <w:tc>
          <w:tcPr>
            <w:tcW w:w="1757" w:type="dxa"/>
          </w:tcPr>
          <w:p>
            <w:pPr>
              <w:pStyle w:val="0"/>
            </w:pPr>
            <w:r>
              <w:rPr>
                <w:sz w:val="24"/>
              </w:rPr>
            </w:r>
          </w:p>
        </w:tc>
        <w:tc>
          <w:tcPr>
            <w:tcW w:w="1354" w:type="dxa"/>
          </w:tcPr>
          <w:p>
            <w:pPr>
              <w:pStyle w:val="0"/>
            </w:pPr>
            <w:r>
              <w:rPr>
                <w:sz w:val="24"/>
              </w:rPr>
            </w:r>
          </w:p>
        </w:tc>
        <w:tc>
          <w:tcPr>
            <w:tcW w:w="1757" w:type="dxa"/>
            <w:tcBorders>
              <w:right w:val="nil"/>
            </w:tcBorders>
          </w:tcPr>
          <w:p>
            <w:pPr>
              <w:pStyle w:val="0"/>
            </w:pPr>
            <w:r>
              <w:rPr>
                <w:sz w:val="24"/>
              </w:rPr>
            </w:r>
          </w:p>
        </w:tc>
      </w:tr>
      <w:tr>
        <w:tc>
          <w:tcPr>
            <w:tcW w:w="510" w:type="dxa"/>
            <w:tcBorders>
              <w:left w:val="nil"/>
            </w:tcBorders>
          </w:tcPr>
          <w:p>
            <w:pPr>
              <w:pStyle w:val="0"/>
              <w:jc w:val="center"/>
            </w:pPr>
            <w:r>
              <w:rPr>
                <w:sz w:val="24"/>
              </w:rPr>
              <w:t xml:space="preserve">...</w:t>
            </w:r>
          </w:p>
        </w:tc>
        <w:tc>
          <w:tcPr>
            <w:tcW w:w="1924" w:type="dxa"/>
          </w:tcPr>
          <w:p>
            <w:pPr>
              <w:pStyle w:val="0"/>
            </w:pPr>
            <w:r>
              <w:rPr>
                <w:sz w:val="24"/>
              </w:rPr>
            </w:r>
          </w:p>
        </w:tc>
        <w:tc>
          <w:tcPr>
            <w:tcW w:w="1757" w:type="dxa"/>
          </w:tcPr>
          <w:p>
            <w:pPr>
              <w:pStyle w:val="0"/>
            </w:pPr>
            <w:r>
              <w:rPr>
                <w:sz w:val="24"/>
              </w:rPr>
            </w:r>
          </w:p>
        </w:tc>
        <w:tc>
          <w:tcPr>
            <w:tcW w:w="1757" w:type="dxa"/>
          </w:tcPr>
          <w:p>
            <w:pPr>
              <w:pStyle w:val="0"/>
            </w:pPr>
            <w:r>
              <w:rPr>
                <w:sz w:val="24"/>
              </w:rPr>
            </w:r>
          </w:p>
        </w:tc>
        <w:tc>
          <w:tcPr>
            <w:tcW w:w="1354" w:type="dxa"/>
          </w:tcPr>
          <w:p>
            <w:pPr>
              <w:pStyle w:val="0"/>
            </w:pPr>
            <w:r>
              <w:rPr>
                <w:sz w:val="24"/>
              </w:rPr>
            </w:r>
          </w:p>
        </w:tc>
        <w:tc>
          <w:tcPr>
            <w:tcW w:w="1757" w:type="dxa"/>
            <w:tcBorders>
              <w:right w:val="nil"/>
            </w:tcBorders>
          </w:tcPr>
          <w:p>
            <w:pPr>
              <w:pStyle w:val="0"/>
            </w:pPr>
            <w:r>
              <w:rPr>
                <w:sz w:val="24"/>
              </w:rPr>
            </w:r>
          </w:p>
        </w:tc>
      </w:tr>
    </w:tbl>
    <w:p>
      <w:pPr>
        <w:pStyle w:val="0"/>
        <w:jc w:val="both"/>
      </w:pPr>
      <w:r>
        <w:rPr>
          <w:sz w:val="24"/>
        </w:rPr>
      </w:r>
    </w:p>
    <w:p>
      <w:pPr>
        <w:pStyle w:val="0"/>
        <w:ind w:firstLine="540"/>
        <w:jc w:val="both"/>
      </w:pPr>
      <w:r>
        <w:rPr>
          <w:sz w:val="24"/>
        </w:rPr>
        <w:t xml:space="preserve">2. Информация по критериям оценки заявок и результатам предоставления субсидии</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2948"/>
        <w:gridCol w:w="1474"/>
        <w:gridCol w:w="1417"/>
        <w:gridCol w:w="1417"/>
        <w:gridCol w:w="1417"/>
      </w:tblGrid>
      <w:tr>
        <w:tc>
          <w:tcPr>
            <w:tcW w:w="394" w:type="dxa"/>
            <w:tcBorders>
              <w:left w:val="nil"/>
            </w:tcBorders>
            <w:vMerge w:val="restart"/>
          </w:tcPr>
          <w:p>
            <w:pPr>
              <w:pStyle w:val="0"/>
              <w:jc w:val="center"/>
            </w:pPr>
            <w:r>
              <w:rPr>
                <w:sz w:val="24"/>
              </w:rPr>
              <w:t xml:space="preserve">N пп</w:t>
            </w:r>
          </w:p>
        </w:tc>
        <w:tc>
          <w:tcPr>
            <w:tcW w:w="2948" w:type="dxa"/>
            <w:vMerge w:val="restart"/>
          </w:tcPr>
          <w:p>
            <w:pPr>
              <w:pStyle w:val="0"/>
              <w:jc w:val="center"/>
            </w:pPr>
            <w:r>
              <w:rPr>
                <w:sz w:val="24"/>
              </w:rPr>
              <w:t xml:space="preserve">Наименование характеристик, необходимых для достижения результата предоставления субсидии (далее - характеристики)</w:t>
            </w:r>
          </w:p>
        </w:tc>
        <w:tc>
          <w:tcPr>
            <w:gridSpan w:val="4"/>
            <w:tcW w:w="5725" w:type="dxa"/>
            <w:tcBorders>
              <w:right w:val="nil"/>
            </w:tcBorders>
          </w:tcPr>
          <w:p>
            <w:pPr>
              <w:pStyle w:val="0"/>
              <w:jc w:val="center"/>
            </w:pPr>
            <w:r>
              <w:rPr>
                <w:sz w:val="24"/>
              </w:rPr>
              <w:t xml:space="preserve">Значения характеристик</w:t>
            </w:r>
          </w:p>
        </w:tc>
      </w:tr>
      <w:tr>
        <w:tc>
          <w:tcPr>
            <w:tcBorders>
              <w:left w:val="nil"/>
            </w:tcBorders>
            <w:vMerge w:val="continue"/>
          </w:tcPr>
          <w:p/>
        </w:tc>
        <w:tc>
          <w:tcPr>
            <w:vMerge w:val="continue"/>
          </w:tcPr>
          <w:p/>
        </w:tc>
        <w:tc>
          <w:tcPr>
            <w:tcW w:w="1474" w:type="dxa"/>
          </w:tcPr>
          <w:p>
            <w:pPr>
              <w:pStyle w:val="0"/>
              <w:jc w:val="center"/>
            </w:pPr>
            <w:r>
              <w:rPr>
                <w:sz w:val="24"/>
              </w:rPr>
              <w:t xml:space="preserve">предшествующий календарный год</w:t>
            </w:r>
          </w:p>
        </w:tc>
        <w:tc>
          <w:tcPr>
            <w:tcW w:w="1417" w:type="dxa"/>
          </w:tcPr>
          <w:p>
            <w:pPr>
              <w:pStyle w:val="0"/>
              <w:jc w:val="center"/>
            </w:pPr>
            <w:r>
              <w:rPr>
                <w:sz w:val="24"/>
              </w:rPr>
              <w:t xml:space="preserve">год предоставления субсидии</w:t>
            </w:r>
          </w:p>
        </w:tc>
        <w:tc>
          <w:tcPr>
            <w:gridSpan w:val="2"/>
            <w:tcW w:w="2834" w:type="dxa"/>
            <w:tcBorders>
              <w:right w:val="nil"/>
            </w:tcBorders>
          </w:tcPr>
          <w:p>
            <w:pPr>
              <w:pStyle w:val="0"/>
              <w:jc w:val="center"/>
            </w:pPr>
            <w:r>
              <w:rPr>
                <w:sz w:val="24"/>
              </w:rPr>
              <w:t xml:space="preserve">плановый период</w:t>
            </w:r>
          </w:p>
        </w:tc>
      </w:tr>
      <w:tr>
        <w:tc>
          <w:tcPr>
            <w:tcBorders>
              <w:left w:val="nil"/>
            </w:tcBorders>
            <w:vMerge w:val="continue"/>
          </w:tcPr>
          <w:p/>
        </w:tc>
        <w:tc>
          <w:tcPr>
            <w:vMerge w:val="continue"/>
          </w:tcPr>
          <w:p/>
        </w:tc>
        <w:tc>
          <w:tcPr>
            <w:tcW w:w="1474" w:type="dxa"/>
          </w:tcPr>
          <w:p>
            <w:pPr>
              <w:pStyle w:val="0"/>
              <w:jc w:val="center"/>
            </w:pPr>
            <w:r>
              <w:rPr>
                <w:sz w:val="24"/>
              </w:rPr>
              <w:t xml:space="preserve">факт на 31 декабря до года предоставления субсидии</w:t>
            </w:r>
          </w:p>
        </w:tc>
        <w:tc>
          <w:tcPr>
            <w:tcW w:w="1417" w:type="dxa"/>
          </w:tcPr>
          <w:p>
            <w:pPr>
              <w:pStyle w:val="0"/>
              <w:jc w:val="center"/>
            </w:pPr>
            <w:r>
              <w:rPr>
                <w:sz w:val="24"/>
              </w:rPr>
              <w:t xml:space="preserve">план на 31 декабря года предоставления субсидии</w:t>
            </w:r>
          </w:p>
        </w:tc>
        <w:tc>
          <w:tcPr>
            <w:tcW w:w="1417" w:type="dxa"/>
          </w:tcPr>
          <w:p>
            <w:pPr>
              <w:pStyle w:val="0"/>
              <w:jc w:val="center"/>
            </w:pPr>
            <w:r>
              <w:rPr>
                <w:sz w:val="24"/>
              </w:rPr>
              <w:t xml:space="preserve">первый год после года предоставления субсидии</w:t>
            </w:r>
          </w:p>
        </w:tc>
        <w:tc>
          <w:tcPr>
            <w:tcW w:w="1417" w:type="dxa"/>
            <w:tcBorders>
              <w:right w:val="nil"/>
            </w:tcBorders>
          </w:tcPr>
          <w:p>
            <w:pPr>
              <w:pStyle w:val="0"/>
              <w:jc w:val="center"/>
            </w:pPr>
            <w:r>
              <w:rPr>
                <w:sz w:val="24"/>
              </w:rPr>
              <w:t xml:space="preserve">второй год после года предоставления субсидии</w:t>
            </w:r>
          </w:p>
        </w:tc>
      </w:tr>
      <w:tr>
        <w:tc>
          <w:tcPr>
            <w:tcW w:w="394" w:type="dxa"/>
            <w:tcBorders>
              <w:left w:val="nil"/>
            </w:tcBorders>
          </w:tcPr>
          <w:p>
            <w:pPr>
              <w:pStyle w:val="0"/>
              <w:jc w:val="center"/>
            </w:pPr>
            <w:r>
              <w:rPr>
                <w:sz w:val="24"/>
              </w:rPr>
              <w:t xml:space="preserve">1</w:t>
            </w:r>
          </w:p>
        </w:tc>
        <w:tc>
          <w:tcPr>
            <w:tcW w:w="2948" w:type="dxa"/>
          </w:tcPr>
          <w:p>
            <w:pPr>
              <w:pStyle w:val="0"/>
              <w:jc w:val="center"/>
            </w:pPr>
            <w:r>
              <w:rPr>
                <w:sz w:val="24"/>
              </w:rPr>
              <w:t xml:space="preserve">2</w:t>
            </w:r>
          </w:p>
        </w:tc>
        <w:tc>
          <w:tcPr>
            <w:tcW w:w="1474" w:type="dxa"/>
          </w:tcPr>
          <w:p>
            <w:pPr>
              <w:pStyle w:val="0"/>
              <w:jc w:val="center"/>
            </w:pPr>
            <w:r>
              <w:rPr>
                <w:sz w:val="24"/>
              </w:rPr>
              <w:t xml:space="preserve">3</w:t>
            </w:r>
          </w:p>
        </w:tc>
        <w:tc>
          <w:tcPr>
            <w:tcW w:w="1417" w:type="dxa"/>
          </w:tcPr>
          <w:p>
            <w:pPr>
              <w:pStyle w:val="0"/>
              <w:jc w:val="center"/>
            </w:pPr>
            <w:r>
              <w:rPr>
                <w:sz w:val="24"/>
              </w:rPr>
              <w:t xml:space="preserve">4</w:t>
            </w:r>
          </w:p>
        </w:tc>
        <w:tc>
          <w:tcPr>
            <w:tcW w:w="1417" w:type="dxa"/>
          </w:tcPr>
          <w:p>
            <w:pPr>
              <w:pStyle w:val="0"/>
              <w:jc w:val="center"/>
            </w:pPr>
            <w:r>
              <w:rPr>
                <w:sz w:val="24"/>
              </w:rPr>
              <w:t xml:space="preserve">5</w:t>
            </w:r>
          </w:p>
        </w:tc>
        <w:tc>
          <w:tcPr>
            <w:tcW w:w="1417" w:type="dxa"/>
            <w:tcBorders>
              <w:right w:val="nil"/>
            </w:tcBorders>
          </w:tcPr>
          <w:p>
            <w:pPr>
              <w:pStyle w:val="0"/>
              <w:jc w:val="center"/>
            </w:pPr>
            <w:r>
              <w:rPr>
                <w:sz w:val="24"/>
              </w:rPr>
              <w:t xml:space="preserve">6</w:t>
            </w:r>
          </w:p>
        </w:tc>
      </w:tr>
      <w:tr>
        <w:tc>
          <w:tcPr>
            <w:tcW w:w="394" w:type="dxa"/>
            <w:tcBorders>
              <w:left w:val="nil"/>
            </w:tcBorders>
          </w:tcPr>
          <w:p>
            <w:pPr>
              <w:pStyle w:val="0"/>
              <w:jc w:val="center"/>
            </w:pPr>
            <w:r>
              <w:rPr>
                <w:sz w:val="24"/>
              </w:rPr>
              <w:t xml:space="preserve">1.</w:t>
            </w:r>
          </w:p>
        </w:tc>
        <w:tc>
          <w:tcPr>
            <w:tcW w:w="2948" w:type="dxa"/>
          </w:tcPr>
          <w:p>
            <w:pPr>
              <w:pStyle w:val="0"/>
              <w:jc w:val="both"/>
            </w:pPr>
            <w:r>
              <w:rPr>
                <w:sz w:val="24"/>
              </w:rPr>
              <w:t xml:space="preserve">Количество новых рабочих мест, созданных в рамках реализации индивидуальной программы социально-экономического развития Чувашской Республики </w:t>
            </w:r>
            <w:hyperlink w:history="0" w:anchor="P550" w:tooltip="&lt;***&gt; Количество новых рабочих мест, созданных в рамках индивидуальной программы социально-экономического развития Чувашской Республики (нарастающим итогом): трудоустройство на постоянную работу новых работников исходя из расчета не менее одного нового работника на каждые 10 млн. рублей субсидии, но не менее одного нового работника на одну субсидию, не позднее 24 месяцев со дня предоставления субсидии; сохранение созданных для трудоустройства на постоянную работу новых работников рабочих мест в течение н...">
              <w:r>
                <w:rPr>
                  <w:sz w:val="24"/>
                  <w:color w:val="0000ff"/>
                </w:rPr>
                <w:t xml:space="preserve">&lt;***&gt;</w:t>
              </w:r>
            </w:hyperlink>
          </w:p>
        </w:tc>
        <w:tc>
          <w:tcPr>
            <w:tcW w:w="1474"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2948" w:type="dxa"/>
          </w:tcPr>
          <w:p>
            <w:pPr>
              <w:pStyle w:val="0"/>
              <w:jc w:val="both"/>
            </w:pPr>
            <w:r>
              <w:rPr>
                <w:sz w:val="24"/>
              </w:rPr>
              <w:t xml:space="preserve">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 </w:t>
            </w:r>
            <w:hyperlink w:history="0" w:anchor="P551" w:tooltip="&lt;****&gt; 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 в течение трех лет из расчета на 1 млн. рублей субсидии: в год предоставления субсидии - не менее 1,5 млн. рублей; в первый год после года предоставления субсидии - не менее 3,5 млн. рублей; во второй год после года предоставления субсидии - не менее 3,8 млн. рублей.">
              <w:r>
                <w:rPr>
                  <w:sz w:val="24"/>
                  <w:color w:val="0000ff"/>
                </w:rPr>
                <w:t xml:space="preserve">&lt;****&gt;</w:t>
              </w:r>
            </w:hyperlink>
          </w:p>
        </w:tc>
        <w:tc>
          <w:tcPr>
            <w:tcW w:w="1474" w:type="dxa"/>
          </w:tcPr>
          <w:p>
            <w:pPr>
              <w:pStyle w:val="0"/>
            </w:pPr>
            <w:r>
              <w:rPr>
                <w:sz w:val="24"/>
              </w:rPr>
            </w:r>
          </w:p>
        </w:tc>
        <w:tc>
          <w:tcPr>
            <w:tcW w:w="1417" w:type="dxa"/>
          </w:tcPr>
          <w:p>
            <w:pPr>
              <w:pStyle w:val="0"/>
            </w:pPr>
            <w:r>
              <w:rPr>
                <w:sz w:val="24"/>
              </w:rPr>
            </w:r>
          </w:p>
        </w:tc>
        <w:tc>
          <w:tcPr>
            <w:tcW w:w="1417" w:type="dxa"/>
          </w:tcPr>
          <w:p>
            <w:pPr>
              <w:pStyle w:val="0"/>
            </w:pPr>
            <w:r>
              <w:rPr>
                <w:sz w:val="24"/>
              </w:rPr>
            </w:r>
          </w:p>
        </w:tc>
        <w:tc>
          <w:tcPr>
            <w:tcW w:w="1417" w:type="dxa"/>
            <w:tcBorders>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548" w:name="P548"/>
    <w:bookmarkEnd w:id="548"/>
    <w:p>
      <w:pPr>
        <w:pStyle w:val="0"/>
        <w:spacing w:before="240" w:lineRule="auto"/>
        <w:ind w:firstLine="540"/>
        <w:jc w:val="both"/>
      </w:pPr>
      <w:r>
        <w:rPr>
          <w:sz w:val="24"/>
        </w:rPr>
        <w:t xml:space="preserve">&lt;*&gt; ОКПД2 - общероссийский </w:t>
      </w:r>
      <w:hyperlink w:history="0" r:id="rId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классификатор</w:t>
        </w:r>
      </w:hyperlink>
      <w:r>
        <w:rPr>
          <w:sz w:val="24"/>
        </w:rPr>
        <w:t xml:space="preserve"> продукции по видам экономической деятельности.</w:t>
      </w:r>
    </w:p>
    <w:bookmarkStart w:id="549" w:name="P549"/>
    <w:bookmarkEnd w:id="549"/>
    <w:p>
      <w:pPr>
        <w:pStyle w:val="0"/>
        <w:spacing w:before="240" w:lineRule="auto"/>
        <w:ind w:firstLine="540"/>
        <w:jc w:val="both"/>
      </w:pPr>
      <w:r>
        <w:rPr>
          <w:sz w:val="24"/>
        </w:rPr>
        <w:t xml:space="preserve">&lt;**&gt; В случае если адрес местонахождения оборудования не совпадает с юридическим (фактическим) местонахождением юридического лица (индивидуального предпринимателя), к пояснительной записке прикладываются документы, обосновывающие его нахождение не по месту нахождения юридического лица (индивидуального предпринимателя) (документ, подтверждающий создание обособленного подразделения, зарегистрированный в установленном порядке договор (договоры) аренды зданий (сооружений) по месту нахождения оборудования).</w:t>
      </w:r>
    </w:p>
    <w:bookmarkStart w:id="550" w:name="P550"/>
    <w:bookmarkEnd w:id="550"/>
    <w:p>
      <w:pPr>
        <w:pStyle w:val="0"/>
        <w:spacing w:before="240" w:lineRule="auto"/>
        <w:ind w:firstLine="540"/>
        <w:jc w:val="both"/>
      </w:pPr>
      <w:r>
        <w:rPr>
          <w:sz w:val="24"/>
        </w:rPr>
        <w:t xml:space="preserve">&lt;***&gt; Количество новых рабочих мест, созданных в рамках индивидуальной программы социально-экономического развития Чувашской Республики (нарастающим итогом): трудоустройство на постоянную работу новых работников исходя из расчета не менее одного нового работника на каждые 10 млн. рублей субсидии, но не менее одного нового работника на одну субсидию, не позднее 24 месяцев со дня предоставления субсидии; сохранение созданных для трудоустройства на постоянную работу новых работников рабочих мест в течение не менее трех лет с даты получения субсидии.</w:t>
      </w:r>
    </w:p>
    <w:bookmarkStart w:id="551" w:name="P551"/>
    <w:bookmarkEnd w:id="551"/>
    <w:p>
      <w:pPr>
        <w:pStyle w:val="0"/>
        <w:spacing w:before="240" w:lineRule="auto"/>
        <w:ind w:firstLine="540"/>
        <w:jc w:val="both"/>
      </w:pPr>
      <w:r>
        <w:rPr>
          <w:sz w:val="24"/>
        </w:rPr>
        <w:t xml:space="preserve">&lt;****&gt; 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 в течение трех лет из расчета на 1 млн. рублей субсидии: в год предоставления субсидии - не менее 1,5 млн. рублей; в первый год после года предоставления субсидии - не менее 3,5 млн. рублей; во второй год после года предоставления субсидии - не менее 3,8 млн. рублей.</w:t>
      </w:r>
    </w:p>
    <w:p>
      <w:pPr>
        <w:pStyle w:val="0"/>
        <w:jc w:val="both"/>
      </w:pPr>
      <w:r>
        <w:rPr>
          <w:sz w:val="24"/>
        </w:rPr>
      </w:r>
    </w:p>
    <w:tbl>
      <w:tblPr>
        <w:tblInd w:w="0" w:type="dxa"/>
        <w:tblLayout w:type="fixed"/>
        <w:tblCellMar>
          <w:top w:w="102" w:type="dxa"/>
          <w:left w:w="62" w:type="dxa"/>
          <w:bottom w:w="102" w:type="dxa"/>
          <w:right w:w="62" w:type="dxa"/>
        </w:tblCellMar>
      </w:tblPr>
      <w:tblGrid>
        <w:gridCol w:w="3969"/>
        <w:gridCol w:w="1701"/>
        <w:gridCol w:w="340"/>
        <w:gridCol w:w="3061"/>
      </w:tblGrid>
      <w:tr>
        <w:tc>
          <w:tcPr>
            <w:tcW w:w="3969" w:type="dxa"/>
            <w:tcBorders>
              <w:top w:val="nil"/>
              <w:left w:val="nil"/>
              <w:bottom w:val="nil"/>
              <w:right w:val="nil"/>
            </w:tcBorders>
          </w:tcPr>
          <w:p>
            <w:pPr>
              <w:pStyle w:val="0"/>
              <w:jc w:val="both"/>
            </w:pPr>
            <w:r>
              <w:rPr>
                <w:sz w:val="24"/>
              </w:rPr>
              <w:t xml:space="preserve">Руководитель</w:t>
            </w:r>
          </w:p>
          <w:p>
            <w:pPr>
              <w:pStyle w:val="0"/>
              <w:jc w:val="both"/>
            </w:pPr>
            <w:r>
              <w:rPr>
                <w:sz w:val="24"/>
              </w:rPr>
              <w:t xml:space="preserve">(индивидуальный предприниматель)</w:t>
            </w:r>
          </w:p>
        </w:tc>
        <w:tc>
          <w:tcPr>
            <w:tcW w:w="170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061" w:type="dxa"/>
            <w:tcBorders>
              <w:top w:val="nil"/>
              <w:left w:val="nil"/>
              <w:bottom w:val="single" w:sz="4"/>
              <w:right w:val="nil"/>
            </w:tcBorders>
          </w:tcPr>
          <w:p>
            <w:pPr>
              <w:pStyle w:val="0"/>
            </w:pPr>
            <w:r>
              <w:rPr>
                <w:sz w:val="24"/>
              </w:rPr>
            </w:r>
          </w:p>
        </w:tc>
      </w:tr>
      <w:tr>
        <w:tc>
          <w:tcPr>
            <w:tcW w:w="3969" w:type="dxa"/>
            <w:tcBorders>
              <w:top w:val="nil"/>
              <w:left w:val="nil"/>
              <w:bottom w:val="nil"/>
              <w:right w:val="nil"/>
            </w:tcBorders>
          </w:tcPr>
          <w:p>
            <w:pPr>
              <w:pStyle w:val="0"/>
            </w:pPr>
            <w:r>
              <w:rPr>
                <w:sz w:val="24"/>
              </w:rPr>
            </w:r>
          </w:p>
        </w:tc>
        <w:tc>
          <w:tcPr>
            <w:tcW w:w="170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061"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579" w:name="P579"/>
    <w:bookmarkEnd w:id="579"/>
    <w:p>
      <w:pPr>
        <w:pStyle w:val="1"/>
        <w:jc w:val="both"/>
      </w:pPr>
      <w:r>
        <w:rPr>
          <w:sz w:val="20"/>
        </w:rPr>
        <w:t xml:space="preserve">                              СПРАВКА-РАСЧЕТ</w:t>
      </w:r>
    </w:p>
    <w:p>
      <w:pPr>
        <w:pStyle w:val="1"/>
        <w:jc w:val="both"/>
      </w:pPr>
      <w:r>
        <w:rPr>
          <w:sz w:val="20"/>
        </w:rPr>
        <w:t xml:space="preserve">             на получение субсидии из республиканского бюджета</w:t>
      </w:r>
    </w:p>
    <w:p>
      <w:pPr>
        <w:pStyle w:val="1"/>
        <w:jc w:val="both"/>
      </w:pPr>
      <w:r>
        <w:rPr>
          <w:sz w:val="20"/>
        </w:rPr>
        <w:t xml:space="preserve">          Чувашской Республики юридическим лицам и индивидуальным</w:t>
      </w:r>
    </w:p>
    <w:p>
      <w:pPr>
        <w:pStyle w:val="1"/>
        <w:jc w:val="both"/>
      </w:pPr>
      <w:r>
        <w:rPr>
          <w:sz w:val="20"/>
        </w:rPr>
        <w:t xml:space="preserve">    предпринимателям на возмещение части затрат по приобретению нового</w:t>
      </w:r>
    </w:p>
    <w:p>
      <w:pPr>
        <w:pStyle w:val="1"/>
        <w:jc w:val="both"/>
      </w:pPr>
      <w:r>
        <w:rPr>
          <w:sz w:val="20"/>
        </w:rPr>
        <w:t xml:space="preserve">     технологического оборудования в рамках реализации инвестиционных</w:t>
      </w:r>
    </w:p>
    <w:p>
      <w:pPr>
        <w:pStyle w:val="1"/>
        <w:jc w:val="both"/>
      </w:pPr>
      <w:r>
        <w:rPr>
          <w:sz w:val="20"/>
        </w:rPr>
        <w:t xml:space="preserve">           проектов в рамках реализации индивидуальной программы</w:t>
      </w:r>
    </w:p>
    <w:p>
      <w:pPr>
        <w:pStyle w:val="1"/>
        <w:jc w:val="both"/>
      </w:pPr>
      <w:r>
        <w:rPr>
          <w:sz w:val="20"/>
        </w:rPr>
        <w:t xml:space="preserve">          социально-экономического развития Чувашской Республики</w:t>
      </w:r>
    </w:p>
    <w:p>
      <w:pPr>
        <w:pStyle w:val="1"/>
        <w:jc w:val="both"/>
      </w:pPr>
      <w:r>
        <w:rPr>
          <w:sz w:val="20"/>
        </w:rPr>
        <w:t xml:space="preserve">   _____________________________________________________________________</w:t>
      </w:r>
    </w:p>
    <w:p>
      <w:pPr>
        <w:pStyle w:val="1"/>
        <w:jc w:val="both"/>
      </w:pPr>
      <w:r>
        <w:rPr>
          <w:sz w:val="20"/>
        </w:rPr>
        <w:t xml:space="preserve">      (полное наименование юридического лица, фамилия, имя, отчество</w:t>
      </w:r>
    </w:p>
    <w:p>
      <w:pPr>
        <w:pStyle w:val="1"/>
        <w:jc w:val="both"/>
      </w:pPr>
      <w:r>
        <w:rPr>
          <w:sz w:val="20"/>
        </w:rPr>
        <w:t xml:space="preserve">        (последнее - при наличии) индивидуального предпринимателя)</w:t>
      </w:r>
    </w:p>
    <w:p>
      <w:pPr>
        <w:pStyle w:val="1"/>
        <w:jc w:val="both"/>
      </w:pPr>
      <w:r>
        <w:rPr>
          <w:sz w:val="20"/>
        </w:rPr>
        <w:t xml:space="preserve">ИНН/КПП ___________________________________________________________________</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1924"/>
        <w:gridCol w:w="907"/>
        <w:gridCol w:w="1924"/>
        <w:gridCol w:w="1757"/>
        <w:gridCol w:w="1020"/>
        <w:gridCol w:w="754"/>
        <w:gridCol w:w="829"/>
        <w:gridCol w:w="1144"/>
        <w:gridCol w:w="1247"/>
        <w:gridCol w:w="2098"/>
      </w:tblGrid>
      <w:tr>
        <w:tc>
          <w:tcPr>
            <w:tcW w:w="1924" w:type="dxa"/>
            <w:tcBorders>
              <w:left w:val="nil"/>
            </w:tcBorders>
            <w:vMerge w:val="restart"/>
          </w:tcPr>
          <w:p>
            <w:pPr>
              <w:pStyle w:val="0"/>
              <w:jc w:val="center"/>
            </w:pPr>
            <w:r>
              <w:rPr>
                <w:sz w:val="24"/>
              </w:rPr>
              <w:t xml:space="preserve">Наименование нового технологического оборудования</w:t>
            </w:r>
          </w:p>
        </w:tc>
        <w:tc>
          <w:tcPr>
            <w:tcW w:w="907" w:type="dxa"/>
            <w:vMerge w:val="restart"/>
          </w:tcPr>
          <w:p>
            <w:pPr>
              <w:pStyle w:val="0"/>
              <w:jc w:val="center"/>
            </w:pPr>
            <w:r>
              <w:rPr>
                <w:sz w:val="24"/>
              </w:rPr>
              <w:t xml:space="preserve">Количество, штук</w:t>
            </w:r>
          </w:p>
        </w:tc>
        <w:tc>
          <w:tcPr>
            <w:tcW w:w="1924" w:type="dxa"/>
            <w:vMerge w:val="restart"/>
          </w:tcPr>
          <w:p>
            <w:pPr>
              <w:pStyle w:val="0"/>
              <w:jc w:val="center"/>
            </w:pPr>
            <w:r>
              <w:rPr>
                <w:sz w:val="24"/>
              </w:rPr>
              <w:t xml:space="preserve">Дата и номер договора (договоров) поставки и (или) купли-продажи нового технологического оборудования</w:t>
            </w:r>
          </w:p>
        </w:tc>
        <w:tc>
          <w:tcPr>
            <w:tcW w:w="1757" w:type="dxa"/>
            <w:vMerge w:val="restart"/>
          </w:tcPr>
          <w:p>
            <w:pPr>
              <w:pStyle w:val="0"/>
              <w:jc w:val="center"/>
            </w:pPr>
            <w:r>
              <w:rPr>
                <w:sz w:val="24"/>
              </w:rPr>
              <w:t xml:space="preserve">Стоимость нового оборудования по договору (договорам) поставки и (или) купли-продажи нового технологического оборудования, рублей</w:t>
            </w:r>
          </w:p>
        </w:tc>
        <w:tc>
          <w:tcPr>
            <w:gridSpan w:val="3"/>
            <w:tcW w:w="2603" w:type="dxa"/>
          </w:tcPr>
          <w:p>
            <w:pPr>
              <w:pStyle w:val="0"/>
              <w:jc w:val="center"/>
            </w:pPr>
            <w:r>
              <w:rPr>
                <w:sz w:val="24"/>
              </w:rPr>
              <w:t xml:space="preserve">Платежные (расчетные) документы, подтверждающие фактическую оплату нового технологического оборудования</w:t>
            </w:r>
          </w:p>
        </w:tc>
        <w:tc>
          <w:tcPr>
            <w:tcW w:w="1144" w:type="dxa"/>
            <w:vMerge w:val="restart"/>
          </w:tcPr>
          <w:p>
            <w:pPr>
              <w:pStyle w:val="0"/>
              <w:jc w:val="center"/>
            </w:pPr>
            <w:r>
              <w:rPr>
                <w:sz w:val="24"/>
              </w:rPr>
              <w:t xml:space="preserve">Ставка субсидии, %</w:t>
            </w:r>
          </w:p>
        </w:tc>
        <w:tc>
          <w:tcPr>
            <w:tcW w:w="1247" w:type="dxa"/>
            <w:vMerge w:val="restart"/>
          </w:tcPr>
          <w:p>
            <w:pPr>
              <w:pStyle w:val="0"/>
              <w:jc w:val="center"/>
            </w:pPr>
            <w:r>
              <w:rPr>
                <w:sz w:val="24"/>
              </w:rPr>
              <w:t xml:space="preserve">Расчет размера субсидии (гр. 7 x гр. 8), рублей</w:t>
            </w:r>
          </w:p>
        </w:tc>
        <w:tc>
          <w:tcPr>
            <w:tcW w:w="2098" w:type="dxa"/>
            <w:tcBorders>
              <w:right w:val="nil"/>
            </w:tcBorders>
            <w:vMerge w:val="restart"/>
          </w:tcPr>
          <w:p>
            <w:pPr>
              <w:pStyle w:val="0"/>
              <w:jc w:val="center"/>
            </w:pPr>
            <w:r>
              <w:rPr>
                <w:sz w:val="24"/>
              </w:rPr>
              <w:t xml:space="preserve">Размер предоставляемой субсидии (значение гр. 9 не более 50 (60) процентов стоимости нового технологического оборудования и в сумме, не превышающей 30,0 млн. рублей на получателя субсидии)</w:t>
            </w:r>
          </w:p>
        </w:tc>
      </w:tr>
      <w:tr>
        <w:tc>
          <w:tcPr>
            <w:tcBorders>
              <w:left w:val="nil"/>
            </w:tcBorders>
            <w:vMerge w:val="continue"/>
          </w:tcPr>
          <w:p/>
        </w:tc>
        <w:tc>
          <w:tcPr>
            <w:vMerge w:val="continue"/>
          </w:tcPr>
          <w:p/>
        </w:tc>
        <w:tc>
          <w:tcPr>
            <w:vMerge w:val="continue"/>
          </w:tcPr>
          <w:p/>
        </w:tc>
        <w:tc>
          <w:tcPr>
            <w:vMerge w:val="continue"/>
          </w:tcPr>
          <w:p/>
        </w:tc>
        <w:tc>
          <w:tcPr>
            <w:tcW w:w="1020" w:type="dxa"/>
          </w:tcPr>
          <w:p>
            <w:pPr>
              <w:pStyle w:val="0"/>
              <w:jc w:val="center"/>
            </w:pPr>
            <w:r>
              <w:rPr>
                <w:sz w:val="24"/>
              </w:rPr>
              <w:t xml:space="preserve">наименование</w:t>
            </w:r>
          </w:p>
        </w:tc>
        <w:tc>
          <w:tcPr>
            <w:tcW w:w="754" w:type="dxa"/>
          </w:tcPr>
          <w:p>
            <w:pPr>
              <w:pStyle w:val="0"/>
              <w:jc w:val="center"/>
            </w:pPr>
            <w:r>
              <w:rPr>
                <w:sz w:val="24"/>
              </w:rPr>
              <w:t xml:space="preserve">номер и дата</w:t>
            </w:r>
          </w:p>
        </w:tc>
        <w:tc>
          <w:tcPr>
            <w:tcW w:w="829" w:type="dxa"/>
          </w:tcPr>
          <w:p>
            <w:pPr>
              <w:pStyle w:val="0"/>
              <w:jc w:val="center"/>
            </w:pPr>
            <w:r>
              <w:rPr>
                <w:sz w:val="24"/>
              </w:rPr>
              <w:t xml:space="preserve">сумма, рублей</w:t>
            </w:r>
          </w:p>
        </w:tc>
        <w:tc>
          <w:tcPr>
            <w:vMerge w:val="continue"/>
          </w:tcPr>
          <w:p/>
        </w:tc>
        <w:tc>
          <w:tcPr>
            <w:vMerge w:val="continue"/>
          </w:tcPr>
          <w:p/>
        </w:tc>
        <w:tc>
          <w:tcPr>
            <w:tcBorders>
              <w:right w:val="nil"/>
            </w:tcBorders>
            <w:vMerge w:val="continue"/>
          </w:tcPr>
          <w:p/>
        </w:tc>
      </w:tr>
      <w:tr>
        <w:tc>
          <w:tcPr>
            <w:tcW w:w="1924" w:type="dxa"/>
            <w:tcBorders>
              <w:left w:val="nil"/>
            </w:tcBorders>
          </w:tcPr>
          <w:p>
            <w:pPr>
              <w:pStyle w:val="0"/>
              <w:jc w:val="center"/>
            </w:pPr>
            <w:r>
              <w:rPr>
                <w:sz w:val="24"/>
              </w:rPr>
              <w:t xml:space="preserve">1</w:t>
            </w:r>
          </w:p>
        </w:tc>
        <w:tc>
          <w:tcPr>
            <w:tcW w:w="907" w:type="dxa"/>
          </w:tcPr>
          <w:p>
            <w:pPr>
              <w:pStyle w:val="0"/>
              <w:jc w:val="center"/>
            </w:pPr>
            <w:r>
              <w:rPr>
                <w:sz w:val="24"/>
              </w:rPr>
              <w:t xml:space="preserve">2</w:t>
            </w:r>
          </w:p>
        </w:tc>
        <w:tc>
          <w:tcPr>
            <w:tcW w:w="1924" w:type="dxa"/>
          </w:tcPr>
          <w:p>
            <w:pPr>
              <w:pStyle w:val="0"/>
              <w:jc w:val="center"/>
            </w:pPr>
            <w:r>
              <w:rPr>
                <w:sz w:val="24"/>
              </w:rPr>
              <w:t xml:space="preserve">3</w:t>
            </w:r>
          </w:p>
        </w:tc>
        <w:tc>
          <w:tcPr>
            <w:tcW w:w="1757" w:type="dxa"/>
          </w:tcPr>
          <w:p>
            <w:pPr>
              <w:pStyle w:val="0"/>
              <w:jc w:val="center"/>
            </w:pPr>
            <w:r>
              <w:rPr>
                <w:sz w:val="24"/>
              </w:rPr>
              <w:t xml:space="preserve">4</w:t>
            </w:r>
          </w:p>
        </w:tc>
        <w:tc>
          <w:tcPr>
            <w:tcW w:w="1020" w:type="dxa"/>
          </w:tcPr>
          <w:p>
            <w:pPr>
              <w:pStyle w:val="0"/>
              <w:jc w:val="center"/>
            </w:pPr>
            <w:r>
              <w:rPr>
                <w:sz w:val="24"/>
              </w:rPr>
              <w:t xml:space="preserve">5</w:t>
            </w:r>
          </w:p>
        </w:tc>
        <w:tc>
          <w:tcPr>
            <w:tcW w:w="754" w:type="dxa"/>
          </w:tcPr>
          <w:p>
            <w:pPr>
              <w:pStyle w:val="0"/>
              <w:jc w:val="center"/>
            </w:pPr>
            <w:r>
              <w:rPr>
                <w:sz w:val="24"/>
              </w:rPr>
              <w:t xml:space="preserve">6</w:t>
            </w:r>
          </w:p>
        </w:tc>
        <w:tc>
          <w:tcPr>
            <w:tcW w:w="829" w:type="dxa"/>
          </w:tcPr>
          <w:p>
            <w:pPr>
              <w:pStyle w:val="0"/>
              <w:jc w:val="center"/>
            </w:pPr>
            <w:r>
              <w:rPr>
                <w:sz w:val="24"/>
              </w:rPr>
              <w:t xml:space="preserve">7</w:t>
            </w:r>
          </w:p>
        </w:tc>
        <w:tc>
          <w:tcPr>
            <w:tcW w:w="1144" w:type="dxa"/>
          </w:tcPr>
          <w:p>
            <w:pPr>
              <w:pStyle w:val="0"/>
              <w:jc w:val="center"/>
            </w:pPr>
            <w:r>
              <w:rPr>
                <w:sz w:val="24"/>
              </w:rPr>
              <w:t xml:space="preserve">8</w:t>
            </w:r>
          </w:p>
        </w:tc>
        <w:tc>
          <w:tcPr>
            <w:tcW w:w="1247" w:type="dxa"/>
          </w:tcPr>
          <w:p>
            <w:pPr>
              <w:pStyle w:val="0"/>
              <w:jc w:val="center"/>
            </w:pPr>
            <w:r>
              <w:rPr>
                <w:sz w:val="24"/>
              </w:rPr>
              <w:t xml:space="preserve">9</w:t>
            </w:r>
          </w:p>
        </w:tc>
        <w:tc>
          <w:tcPr>
            <w:tcW w:w="2098" w:type="dxa"/>
            <w:tcBorders>
              <w:right w:val="nil"/>
            </w:tcBorders>
          </w:tcPr>
          <w:p>
            <w:pPr>
              <w:pStyle w:val="0"/>
              <w:jc w:val="center"/>
            </w:pPr>
            <w:r>
              <w:rPr>
                <w:sz w:val="24"/>
              </w:rPr>
              <w:t xml:space="preserve">10</w:t>
            </w:r>
          </w:p>
        </w:tc>
      </w:tr>
      <w:tr>
        <w:tc>
          <w:tcPr>
            <w:tcW w:w="1924" w:type="dxa"/>
            <w:tcBorders>
              <w:left w:val="nil"/>
            </w:tcBorders>
          </w:tcPr>
          <w:p>
            <w:pPr>
              <w:pStyle w:val="0"/>
            </w:pPr>
            <w:r>
              <w:rPr>
                <w:sz w:val="24"/>
              </w:rPr>
            </w:r>
          </w:p>
        </w:tc>
        <w:tc>
          <w:tcPr>
            <w:tcW w:w="907" w:type="dxa"/>
          </w:tcPr>
          <w:p>
            <w:pPr>
              <w:pStyle w:val="0"/>
            </w:pPr>
            <w:r>
              <w:rPr>
                <w:sz w:val="24"/>
              </w:rPr>
            </w:r>
          </w:p>
        </w:tc>
        <w:tc>
          <w:tcPr>
            <w:tcW w:w="1924" w:type="dxa"/>
          </w:tcPr>
          <w:p>
            <w:pPr>
              <w:pStyle w:val="0"/>
            </w:pPr>
            <w:r>
              <w:rPr>
                <w:sz w:val="24"/>
              </w:rPr>
            </w:r>
          </w:p>
        </w:tc>
        <w:tc>
          <w:tcPr>
            <w:tcW w:w="1757" w:type="dxa"/>
          </w:tcPr>
          <w:p>
            <w:pPr>
              <w:pStyle w:val="0"/>
            </w:pPr>
            <w:r>
              <w:rPr>
                <w:sz w:val="24"/>
              </w:rPr>
            </w:r>
          </w:p>
        </w:tc>
        <w:tc>
          <w:tcPr>
            <w:tcW w:w="1020" w:type="dxa"/>
          </w:tcPr>
          <w:p>
            <w:pPr>
              <w:pStyle w:val="0"/>
            </w:pPr>
            <w:r>
              <w:rPr>
                <w:sz w:val="24"/>
              </w:rPr>
            </w:r>
          </w:p>
        </w:tc>
        <w:tc>
          <w:tcPr>
            <w:tcW w:w="754" w:type="dxa"/>
          </w:tcPr>
          <w:p>
            <w:pPr>
              <w:pStyle w:val="0"/>
            </w:pPr>
            <w:r>
              <w:rPr>
                <w:sz w:val="24"/>
              </w:rPr>
            </w:r>
          </w:p>
        </w:tc>
        <w:tc>
          <w:tcPr>
            <w:tcW w:w="829" w:type="dxa"/>
          </w:tcPr>
          <w:p>
            <w:pPr>
              <w:pStyle w:val="0"/>
            </w:pPr>
            <w:r>
              <w:rPr>
                <w:sz w:val="24"/>
              </w:rPr>
            </w:r>
          </w:p>
        </w:tc>
        <w:tc>
          <w:tcPr>
            <w:tcW w:w="1144" w:type="dxa"/>
          </w:tcPr>
          <w:p>
            <w:pPr>
              <w:pStyle w:val="0"/>
              <w:jc w:val="center"/>
            </w:pPr>
            <w:r>
              <w:rPr>
                <w:sz w:val="24"/>
              </w:rPr>
              <w:t xml:space="preserve">50</w:t>
            </w:r>
          </w:p>
        </w:tc>
        <w:tc>
          <w:tcPr>
            <w:tcW w:w="1247" w:type="dxa"/>
          </w:tcPr>
          <w:p>
            <w:pPr>
              <w:pStyle w:val="0"/>
            </w:pPr>
            <w:r>
              <w:rPr>
                <w:sz w:val="24"/>
              </w:rPr>
            </w:r>
          </w:p>
        </w:tc>
        <w:tc>
          <w:tcPr>
            <w:tcW w:w="2098" w:type="dxa"/>
            <w:tcBorders>
              <w:right w:val="nil"/>
            </w:tcBorders>
          </w:tcPr>
          <w:p>
            <w:pPr>
              <w:pStyle w:val="0"/>
            </w:pPr>
            <w:r>
              <w:rPr>
                <w:sz w:val="24"/>
              </w:rPr>
            </w:r>
          </w:p>
        </w:tc>
      </w:tr>
      <w:tr>
        <w:tc>
          <w:tcPr>
            <w:tcW w:w="1924" w:type="dxa"/>
            <w:tcBorders>
              <w:left w:val="nil"/>
            </w:tcBorders>
          </w:tcPr>
          <w:p>
            <w:pPr>
              <w:pStyle w:val="0"/>
              <w:jc w:val="both"/>
            </w:pPr>
            <w:r>
              <w:rPr>
                <w:sz w:val="24"/>
              </w:rPr>
              <w:t xml:space="preserve">Итого</w:t>
            </w:r>
          </w:p>
        </w:tc>
        <w:tc>
          <w:tcPr>
            <w:tcW w:w="907" w:type="dxa"/>
          </w:tcPr>
          <w:p>
            <w:pPr>
              <w:pStyle w:val="0"/>
            </w:pPr>
            <w:r>
              <w:rPr>
                <w:sz w:val="24"/>
              </w:rPr>
            </w:r>
          </w:p>
        </w:tc>
        <w:tc>
          <w:tcPr>
            <w:tcW w:w="1924" w:type="dxa"/>
          </w:tcPr>
          <w:p>
            <w:pPr>
              <w:pStyle w:val="0"/>
              <w:jc w:val="center"/>
            </w:pPr>
            <w:r>
              <w:rPr>
                <w:sz w:val="24"/>
              </w:rPr>
              <w:t xml:space="preserve">x</w:t>
            </w:r>
          </w:p>
        </w:tc>
        <w:tc>
          <w:tcPr>
            <w:tcW w:w="1757" w:type="dxa"/>
          </w:tcPr>
          <w:p>
            <w:pPr>
              <w:pStyle w:val="0"/>
            </w:pPr>
            <w:r>
              <w:rPr>
                <w:sz w:val="24"/>
              </w:rPr>
            </w:r>
          </w:p>
        </w:tc>
        <w:tc>
          <w:tcPr>
            <w:tcW w:w="1020" w:type="dxa"/>
          </w:tcPr>
          <w:p>
            <w:pPr>
              <w:pStyle w:val="0"/>
              <w:jc w:val="center"/>
            </w:pPr>
            <w:r>
              <w:rPr>
                <w:sz w:val="24"/>
              </w:rPr>
              <w:t xml:space="preserve">x</w:t>
            </w:r>
          </w:p>
        </w:tc>
        <w:tc>
          <w:tcPr>
            <w:tcW w:w="754" w:type="dxa"/>
          </w:tcPr>
          <w:p>
            <w:pPr>
              <w:pStyle w:val="0"/>
              <w:jc w:val="center"/>
            </w:pPr>
            <w:r>
              <w:rPr>
                <w:sz w:val="24"/>
              </w:rPr>
              <w:t xml:space="preserve">x</w:t>
            </w:r>
          </w:p>
        </w:tc>
        <w:tc>
          <w:tcPr>
            <w:tcW w:w="829" w:type="dxa"/>
          </w:tcPr>
          <w:p>
            <w:pPr>
              <w:pStyle w:val="0"/>
            </w:pPr>
            <w:r>
              <w:rPr>
                <w:sz w:val="24"/>
              </w:rPr>
            </w:r>
          </w:p>
        </w:tc>
        <w:tc>
          <w:tcPr>
            <w:tcW w:w="1144" w:type="dxa"/>
          </w:tcPr>
          <w:p>
            <w:pPr>
              <w:pStyle w:val="0"/>
              <w:jc w:val="center"/>
            </w:pPr>
            <w:r>
              <w:rPr>
                <w:sz w:val="24"/>
              </w:rPr>
              <w:t xml:space="preserve">x</w:t>
            </w:r>
          </w:p>
        </w:tc>
        <w:tc>
          <w:tcPr>
            <w:tcW w:w="1247" w:type="dxa"/>
          </w:tcPr>
          <w:p>
            <w:pPr>
              <w:pStyle w:val="0"/>
            </w:pPr>
            <w:r>
              <w:rPr>
                <w:sz w:val="24"/>
              </w:rPr>
            </w:r>
          </w:p>
        </w:tc>
        <w:tc>
          <w:tcPr>
            <w:tcW w:w="2098" w:type="dxa"/>
            <w:tcBorders>
              <w:right w:val="nil"/>
            </w:tcBorders>
          </w:tcPr>
          <w:p>
            <w:pPr>
              <w:pStyle w:val="0"/>
            </w:pPr>
            <w:r>
              <w:rPr>
                <w:sz w:val="24"/>
              </w:rPr>
            </w:r>
          </w:p>
        </w:tc>
      </w:tr>
    </w:tbl>
    <w:p>
      <w:pPr>
        <w:pStyle w:val="0"/>
        <w:jc w:val="both"/>
      </w:pPr>
      <w:r>
        <w:rPr>
          <w:sz w:val="24"/>
        </w:rPr>
      </w:r>
    </w:p>
    <w:p>
      <w:pPr>
        <w:pStyle w:val="1"/>
        <w:jc w:val="both"/>
      </w:pPr>
      <w:r>
        <w:rPr>
          <w:sz w:val="20"/>
        </w:rPr>
        <w:t xml:space="preserve">Руководитель</w:t>
      </w:r>
    </w:p>
    <w:p>
      <w:pPr>
        <w:pStyle w:val="1"/>
        <w:jc w:val="both"/>
      </w:pPr>
      <w:r>
        <w:rPr>
          <w:sz w:val="20"/>
        </w:rPr>
        <w:t xml:space="preserve">(индивидуальный предприниматель) _______________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 20___ г.</w:t>
      </w:r>
    </w:p>
    <w:p>
      <w:pPr>
        <w:pStyle w:val="1"/>
        <w:jc w:val="both"/>
      </w:pPr>
      <w:r>
        <w:rPr>
          <w:sz w:val="20"/>
        </w:rPr>
      </w:r>
    </w:p>
    <w:p>
      <w:pPr>
        <w:pStyle w:val="1"/>
        <w:jc w:val="both"/>
      </w:pPr>
      <w:r>
        <w:rPr>
          <w:sz w:val="20"/>
        </w:rPr>
        <w:t xml:space="preserve">М.П. (при наличии)</w:t>
      </w:r>
    </w:p>
    <w:p>
      <w:pPr>
        <w:sectPr>
          <w:headerReference w:type="default" r:id="rId94"/>
          <w:headerReference w:type="first" r:id="rId94"/>
          <w:footerReference w:type="default" r:id="rId95"/>
          <w:footerReference w:type="first" r:id="rId95"/>
          <w:pgSz w:w="16838" w:h="11906" w:orient="landscape"/>
          <w:pgMar w:top="1133" w:right="1440" w:bottom="566" w:left="1440" w:header="0" w:footer="0" w:gutter="0"/>
          <w:titlePg/>
        </w:sectPr>
      </w:pP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657" w:name="P657"/>
    <w:bookmarkEnd w:id="657"/>
    <w:p>
      <w:pPr>
        <w:pStyle w:val="1"/>
        <w:jc w:val="both"/>
      </w:pPr>
      <w:r>
        <w:rPr>
          <w:sz w:val="20"/>
        </w:rPr>
        <w:t xml:space="preserve">                                 СВЕДЕНИЯ</w:t>
      </w:r>
    </w:p>
    <w:p>
      <w:pPr>
        <w:pStyle w:val="1"/>
        <w:jc w:val="both"/>
      </w:pPr>
      <w:r>
        <w:rPr>
          <w:sz w:val="20"/>
        </w:rPr>
        <w:t xml:space="preserve">        о численности и заработной плате работников за 20__ год </w:t>
      </w:r>
      <w:hyperlink w:history="0" w:anchor="P682" w:tooltip="    &lt;*&gt;  Значения  показателя  за  предшествующий календарный год и на дату">
        <w:r>
          <w:rPr>
            <w:sz w:val="20"/>
            <w:color w:val="0000ff"/>
          </w:rPr>
          <w:t xml:space="preserve">&lt;*&gt;</w:t>
        </w:r>
      </w:hyperlink>
    </w:p>
    <w:p>
      <w:pPr>
        <w:pStyle w:val="1"/>
        <w:jc w:val="both"/>
      </w:pPr>
      <w:r>
        <w:rPr>
          <w:sz w:val="20"/>
        </w:rPr>
        <w:t xml:space="preserve">___________________________________________________________________________</w:t>
      </w:r>
    </w:p>
    <w:p>
      <w:pPr>
        <w:pStyle w:val="1"/>
        <w:jc w:val="both"/>
      </w:pPr>
      <w:r>
        <w:rPr>
          <w:sz w:val="20"/>
        </w:rPr>
        <w:t xml:space="preserve">      (полное наименование юридического лица, фамилия, имя, отчество</w:t>
      </w:r>
    </w:p>
    <w:p>
      <w:pPr>
        <w:pStyle w:val="1"/>
        <w:jc w:val="both"/>
      </w:pPr>
      <w:r>
        <w:rPr>
          <w:sz w:val="20"/>
        </w:rPr>
        <w:t xml:space="preserve">___________________________________________________________________________</w:t>
      </w:r>
    </w:p>
    <w:p>
      <w:pPr>
        <w:pStyle w:val="1"/>
        <w:jc w:val="both"/>
      </w:pPr>
      <w:r>
        <w:rPr>
          <w:sz w:val="20"/>
        </w:rPr>
        <w:t xml:space="preserve">         (последнее - при наличии) индивидуального предпринимателя</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5839"/>
        <w:gridCol w:w="1417"/>
        <w:gridCol w:w="1417"/>
      </w:tblGrid>
      <w:tr>
        <w:tc>
          <w:tcPr>
            <w:tcW w:w="394" w:type="dxa"/>
            <w:tcBorders>
              <w:left w:val="nil"/>
            </w:tcBorders>
          </w:tcPr>
          <w:p>
            <w:pPr>
              <w:pStyle w:val="0"/>
              <w:jc w:val="center"/>
            </w:pPr>
            <w:r>
              <w:rPr>
                <w:sz w:val="24"/>
              </w:rPr>
              <w:t xml:space="preserve">N пп</w:t>
            </w:r>
          </w:p>
        </w:tc>
        <w:tc>
          <w:tcPr>
            <w:tcW w:w="5839" w:type="dxa"/>
          </w:tcPr>
          <w:p>
            <w:pPr>
              <w:pStyle w:val="0"/>
              <w:jc w:val="center"/>
            </w:pPr>
            <w:r>
              <w:rPr>
                <w:sz w:val="24"/>
              </w:rPr>
              <w:t xml:space="preserve">Наименование показателя</w:t>
            </w:r>
          </w:p>
        </w:tc>
        <w:tc>
          <w:tcPr>
            <w:tcW w:w="1417" w:type="dxa"/>
          </w:tcPr>
          <w:p>
            <w:pPr>
              <w:pStyle w:val="0"/>
              <w:jc w:val="center"/>
            </w:pPr>
            <w:r>
              <w:rPr>
                <w:sz w:val="24"/>
              </w:rPr>
              <w:t xml:space="preserve">Единица измерения</w:t>
            </w:r>
          </w:p>
        </w:tc>
        <w:tc>
          <w:tcPr>
            <w:tcW w:w="1417" w:type="dxa"/>
            <w:tcBorders>
              <w:right w:val="nil"/>
            </w:tcBorders>
          </w:tcPr>
          <w:p>
            <w:pPr>
              <w:pStyle w:val="0"/>
              <w:jc w:val="center"/>
            </w:pPr>
            <w:r>
              <w:rPr>
                <w:sz w:val="24"/>
              </w:rPr>
              <w:t xml:space="preserve">За 20__ год </w:t>
            </w:r>
            <w:hyperlink w:history="0" w:anchor="P682" w:tooltip="    &lt;*&gt;  Значения  показателя  за  предшествующий календарный год и на дату">
              <w:r>
                <w:rPr>
                  <w:sz w:val="24"/>
                  <w:color w:val="0000ff"/>
                </w:rPr>
                <w:t xml:space="preserve">&lt;*&gt;</w:t>
              </w:r>
            </w:hyperlink>
          </w:p>
        </w:tc>
      </w:tr>
      <w:tr>
        <w:tc>
          <w:tcPr>
            <w:tcW w:w="394" w:type="dxa"/>
            <w:tcBorders>
              <w:left w:val="nil"/>
            </w:tcBorders>
          </w:tcPr>
          <w:p>
            <w:pPr>
              <w:pStyle w:val="0"/>
              <w:jc w:val="center"/>
            </w:pPr>
            <w:r>
              <w:rPr>
                <w:sz w:val="24"/>
              </w:rPr>
              <w:t xml:space="preserve">1.</w:t>
            </w:r>
          </w:p>
        </w:tc>
        <w:tc>
          <w:tcPr>
            <w:tcW w:w="5839" w:type="dxa"/>
          </w:tcPr>
          <w:p>
            <w:pPr>
              <w:pStyle w:val="0"/>
              <w:jc w:val="both"/>
            </w:pPr>
            <w:r>
              <w:rPr>
                <w:sz w:val="24"/>
              </w:rPr>
              <w:t xml:space="preserve">Среднесписочная численность работников, всего </w:t>
            </w:r>
            <w:hyperlink w:history="0" w:anchor="P682" w:tooltip="    &lt;*&gt;  Значения  показателя  за  предшествующий календарный год и на дату">
              <w:r>
                <w:rPr>
                  <w:sz w:val="24"/>
                  <w:color w:val="0000ff"/>
                </w:rPr>
                <w:t xml:space="preserve">&lt;*&gt;</w:t>
              </w:r>
            </w:hyperlink>
          </w:p>
        </w:tc>
        <w:tc>
          <w:tcPr>
            <w:tcW w:w="1417" w:type="dxa"/>
          </w:tcPr>
          <w:p>
            <w:pPr>
              <w:pStyle w:val="0"/>
              <w:jc w:val="center"/>
            </w:pPr>
            <w:r>
              <w:rPr>
                <w:sz w:val="24"/>
              </w:rPr>
              <w:t xml:space="preserve">человек</w:t>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5839" w:type="dxa"/>
          </w:tcPr>
          <w:p>
            <w:pPr>
              <w:pStyle w:val="0"/>
              <w:jc w:val="both"/>
            </w:pPr>
            <w:r>
              <w:rPr>
                <w:sz w:val="24"/>
              </w:rPr>
              <w:t xml:space="preserve">Фонд начисленной заработной платы работников</w:t>
            </w:r>
          </w:p>
        </w:tc>
        <w:tc>
          <w:tcPr>
            <w:tcW w:w="1417" w:type="dxa"/>
          </w:tcPr>
          <w:p>
            <w:pPr>
              <w:pStyle w:val="0"/>
              <w:jc w:val="center"/>
            </w:pPr>
            <w:r>
              <w:rPr>
                <w:sz w:val="24"/>
              </w:rPr>
              <w:t xml:space="preserve">тыс. рублей</w:t>
            </w:r>
          </w:p>
        </w:tc>
        <w:tc>
          <w:tcPr>
            <w:tcW w:w="1417"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5839" w:type="dxa"/>
          </w:tcPr>
          <w:p>
            <w:pPr>
              <w:pStyle w:val="0"/>
              <w:jc w:val="both"/>
            </w:pPr>
            <w:r>
              <w:rPr>
                <w:sz w:val="24"/>
              </w:rPr>
              <w:t xml:space="preserve">Среднемесячная заработная плата работников </w:t>
            </w:r>
            <w:hyperlink w:history="0" w:anchor="P686" w:tooltip="    &lt;**&gt;  Значения  показателя  за предшествующий календарный год и на дату">
              <w:r>
                <w:rPr>
                  <w:sz w:val="24"/>
                  <w:color w:val="0000ff"/>
                </w:rPr>
                <w:t xml:space="preserve">&lt;**&gt;</w:t>
              </w:r>
            </w:hyperlink>
          </w:p>
        </w:tc>
        <w:tc>
          <w:tcPr>
            <w:tcW w:w="1417" w:type="dxa"/>
          </w:tcPr>
          <w:p>
            <w:pPr>
              <w:pStyle w:val="0"/>
              <w:jc w:val="center"/>
            </w:pPr>
            <w:r>
              <w:rPr>
                <w:sz w:val="24"/>
              </w:rPr>
              <w:t xml:space="preserve">рублей</w:t>
            </w:r>
          </w:p>
        </w:tc>
        <w:tc>
          <w:tcPr>
            <w:tcW w:w="1417"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bookmarkStart w:id="682" w:name="P682"/>
    <w:bookmarkEnd w:id="682"/>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юридическим    лицом,    индивидуальным</w:t>
      </w:r>
    </w:p>
    <w:p>
      <w:pPr>
        <w:pStyle w:val="1"/>
        <w:jc w:val="both"/>
      </w:pPr>
      <w:r>
        <w:rPr>
          <w:sz w:val="20"/>
        </w:rPr>
        <w:t xml:space="preserve">предпринимателем  в  соответствии  с  формой "Расчет по страховым взносам",</w:t>
      </w:r>
    </w:p>
    <w:p>
      <w:pPr>
        <w:pStyle w:val="1"/>
        <w:jc w:val="both"/>
      </w:pPr>
      <w:r>
        <w:rPr>
          <w:sz w:val="20"/>
        </w:rPr>
        <w:t xml:space="preserve">утвержденной приказом Федеральной налоговой службы.</w:t>
      </w:r>
    </w:p>
    <w:bookmarkStart w:id="686" w:name="P686"/>
    <w:bookmarkEnd w:id="686"/>
    <w:p>
      <w:pPr>
        <w:pStyle w:val="1"/>
        <w:jc w:val="both"/>
      </w:pPr>
      <w:r>
        <w:rPr>
          <w:sz w:val="20"/>
        </w:rPr>
        <w:t xml:space="preserve">    &lt;**&gt;  Значения  показателя  за предшествующий календарный год и на дату</w:t>
      </w:r>
    </w:p>
    <w:p>
      <w:pPr>
        <w:pStyle w:val="1"/>
        <w:jc w:val="both"/>
      </w:pPr>
      <w:r>
        <w:rPr>
          <w:sz w:val="20"/>
        </w:rPr>
        <w:t xml:space="preserve">подачи     заявки    указываются    юридическим    лицом,    индивидуальным</w:t>
      </w:r>
    </w:p>
    <w:p>
      <w:pPr>
        <w:pStyle w:val="1"/>
        <w:jc w:val="both"/>
      </w:pPr>
      <w:r>
        <w:rPr>
          <w:sz w:val="20"/>
        </w:rPr>
        <w:t xml:space="preserve">предпринимателем  на  основании  расчета,  произведенного  в соответствии с</w:t>
      </w:r>
    </w:p>
    <w:p>
      <w:pPr>
        <w:pStyle w:val="1"/>
        <w:jc w:val="both"/>
      </w:pPr>
      <w:r>
        <w:rPr>
          <w:sz w:val="20"/>
        </w:rPr>
        <w:t xml:space="preserve">указаниями  Федеральной  службы  государственной  статистики  по заполнению</w:t>
      </w:r>
    </w:p>
    <w:p>
      <w:pPr>
        <w:pStyle w:val="1"/>
        <w:jc w:val="both"/>
      </w:pPr>
      <w:r>
        <w:rPr>
          <w:sz w:val="20"/>
        </w:rPr>
        <w:t xml:space="preserve">формы федерального статистического наблюдения N П-4 "Сведения о численности</w:t>
      </w:r>
    </w:p>
    <w:p>
      <w:pPr>
        <w:pStyle w:val="1"/>
        <w:jc w:val="both"/>
      </w:pPr>
      <w:r>
        <w:rPr>
          <w:sz w:val="20"/>
        </w:rPr>
        <w:t xml:space="preserve">и заработной плате работников".</w:t>
      </w:r>
    </w:p>
    <w:p>
      <w:pPr>
        <w:pStyle w:val="1"/>
        <w:jc w:val="both"/>
      </w:pPr>
      <w:r>
        <w:rPr>
          <w:sz w:val="20"/>
        </w:rPr>
      </w:r>
    </w:p>
    <w:p>
      <w:pPr>
        <w:pStyle w:val="1"/>
        <w:jc w:val="both"/>
      </w:pPr>
      <w:r>
        <w:rPr>
          <w:sz w:val="20"/>
        </w:rPr>
        <w:t xml:space="preserve">Руководитель</w:t>
      </w:r>
    </w:p>
    <w:p>
      <w:pPr>
        <w:pStyle w:val="1"/>
        <w:jc w:val="both"/>
      </w:pPr>
      <w:r>
        <w:rPr>
          <w:sz w:val="20"/>
        </w:rPr>
        <w:t xml:space="preserve">(индивидуальный предприниматель) _______________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Главный бухгалтер</w:t>
      </w:r>
    </w:p>
    <w:p>
      <w:pPr>
        <w:pStyle w:val="1"/>
        <w:jc w:val="both"/>
      </w:pPr>
      <w:r>
        <w:rPr>
          <w:sz w:val="20"/>
        </w:rPr>
        <w:t xml:space="preserve">(при наличии)                    _______________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721" w:name="P721"/>
    <w:bookmarkEnd w:id="721"/>
    <w:p>
      <w:pPr>
        <w:pStyle w:val="1"/>
        <w:jc w:val="both"/>
      </w:pPr>
      <w:r>
        <w:rPr>
          <w:sz w:val="20"/>
        </w:rPr>
        <w:t xml:space="preserve">                               ОБЯЗАТЕЛЬСТВО</w:t>
      </w:r>
    </w:p>
    <w:p>
      <w:pPr>
        <w:pStyle w:val="1"/>
        <w:jc w:val="both"/>
      </w:pPr>
      <w:r>
        <w:rPr>
          <w:sz w:val="20"/>
        </w:rPr>
        <w:t xml:space="preserve">        целевого использования нового технологического оборудования</w:t>
      </w:r>
    </w:p>
    <w:p>
      <w:pPr>
        <w:pStyle w:val="1"/>
        <w:jc w:val="both"/>
      </w:pPr>
      <w:r>
        <w:rPr>
          <w:sz w:val="20"/>
        </w:rPr>
        <w:t xml:space="preserve">   _____________________________________________________________________</w:t>
      </w:r>
    </w:p>
    <w:p>
      <w:pPr>
        <w:pStyle w:val="1"/>
        <w:jc w:val="both"/>
      </w:pPr>
      <w:r>
        <w:rPr>
          <w:sz w:val="20"/>
        </w:rPr>
        <w:t xml:space="preserve">                  (полное наименование юридического лица,</w:t>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(последнее - при наличии)</w:t>
      </w:r>
    </w:p>
    <w:p>
      <w:pPr>
        <w:pStyle w:val="1"/>
        <w:jc w:val="both"/>
      </w:pPr>
      <w:r>
        <w:rPr>
          <w:sz w:val="20"/>
        </w:rPr>
        <w:t xml:space="preserve">                     индивидуального предпринимателя)</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1924"/>
        <w:gridCol w:w="2029"/>
        <w:gridCol w:w="1999"/>
        <w:gridCol w:w="1474"/>
        <w:gridCol w:w="1924"/>
        <w:gridCol w:w="1924"/>
        <w:gridCol w:w="1924"/>
      </w:tblGrid>
      <w:tr>
        <w:tc>
          <w:tcPr>
            <w:tcW w:w="394" w:type="dxa"/>
            <w:tcBorders>
              <w:left w:val="nil"/>
            </w:tcBorders>
          </w:tcPr>
          <w:p>
            <w:pPr>
              <w:pStyle w:val="0"/>
              <w:jc w:val="center"/>
            </w:pPr>
            <w:r>
              <w:rPr>
                <w:sz w:val="24"/>
              </w:rPr>
              <w:t xml:space="preserve">N пп</w:t>
            </w:r>
          </w:p>
        </w:tc>
        <w:tc>
          <w:tcPr>
            <w:tcW w:w="1924" w:type="dxa"/>
          </w:tcPr>
          <w:p>
            <w:pPr>
              <w:pStyle w:val="0"/>
              <w:jc w:val="center"/>
            </w:pPr>
            <w:r>
              <w:rPr>
                <w:sz w:val="24"/>
              </w:rPr>
              <w:t xml:space="preserve">Наименование нового технологического оборудования</w:t>
            </w:r>
          </w:p>
        </w:tc>
        <w:tc>
          <w:tcPr>
            <w:tcW w:w="2029" w:type="dxa"/>
          </w:tcPr>
          <w:p>
            <w:pPr>
              <w:pStyle w:val="0"/>
              <w:jc w:val="center"/>
            </w:pPr>
            <w:r>
              <w:rPr>
                <w:sz w:val="24"/>
              </w:rPr>
              <w:t xml:space="preserve">Коды </w:t>
            </w:r>
            <w:hyperlink w:history="0" r:id="rId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ОКПД</w:t>
              </w:r>
            </w:hyperlink>
            <w:r>
              <w:rPr>
                <w:sz w:val="24"/>
              </w:rPr>
              <w:t xml:space="preserve"> 2 (Общероссийского </w:t>
            </w:r>
            <w:hyperlink w:history="0" r:id="rId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КонсультантПлюс}">
              <w:r>
                <w:rPr>
                  <w:sz w:val="24"/>
                  <w:color w:val="0000ff"/>
                </w:rPr>
                <w:t xml:space="preserve">классификатора</w:t>
              </w:r>
            </w:hyperlink>
            <w:r>
              <w:rPr>
                <w:sz w:val="24"/>
              </w:rPr>
              <w:t xml:space="preserve"> продукции по видам экономической деятельности)</w:t>
            </w:r>
          </w:p>
        </w:tc>
        <w:tc>
          <w:tcPr>
            <w:tcW w:w="1999" w:type="dxa"/>
          </w:tcPr>
          <w:p>
            <w:pPr>
              <w:pStyle w:val="0"/>
              <w:jc w:val="center"/>
            </w:pPr>
            <w:r>
              <w:rPr>
                <w:sz w:val="24"/>
              </w:rPr>
              <w:t xml:space="preserve">Местонахождение нового технологического оборудования </w:t>
            </w:r>
            <w:hyperlink w:history="0" w:anchor="P787" w:tooltip="    &lt;*&gt;   Если   новое   технологическое   оборудование   находится  не  по">
              <w:r>
                <w:rPr>
                  <w:sz w:val="24"/>
                  <w:color w:val="0000ff"/>
                </w:rPr>
                <w:t xml:space="preserve">&lt;*&gt;</w:t>
              </w:r>
            </w:hyperlink>
          </w:p>
        </w:tc>
        <w:tc>
          <w:tcPr>
            <w:tcW w:w="1474" w:type="dxa"/>
          </w:tcPr>
          <w:p>
            <w:pPr>
              <w:pStyle w:val="0"/>
              <w:jc w:val="center"/>
            </w:pPr>
            <w:r>
              <w:rPr>
                <w:sz w:val="24"/>
              </w:rPr>
              <w:t xml:space="preserve">Амортизационная группа</w:t>
            </w:r>
          </w:p>
        </w:tc>
        <w:tc>
          <w:tcPr>
            <w:tcW w:w="1924" w:type="dxa"/>
          </w:tcPr>
          <w:p>
            <w:pPr>
              <w:pStyle w:val="0"/>
              <w:jc w:val="center"/>
            </w:pPr>
            <w:r>
              <w:rPr>
                <w:sz w:val="24"/>
              </w:rPr>
              <w:t xml:space="preserve">Срок полезного использования нового технологического оборудования, месяцев</w:t>
            </w:r>
          </w:p>
        </w:tc>
        <w:tc>
          <w:tcPr>
            <w:tcW w:w="1924" w:type="dxa"/>
          </w:tcPr>
          <w:p>
            <w:pPr>
              <w:pStyle w:val="0"/>
              <w:jc w:val="center"/>
            </w:pPr>
            <w:r>
              <w:rPr>
                <w:sz w:val="24"/>
              </w:rPr>
              <w:t xml:space="preserve">Год изготовления нового технологического оборудования</w:t>
            </w:r>
          </w:p>
        </w:tc>
        <w:tc>
          <w:tcPr>
            <w:tcW w:w="1924" w:type="dxa"/>
            <w:tcBorders>
              <w:right w:val="nil"/>
            </w:tcBorders>
          </w:tcPr>
          <w:p>
            <w:pPr>
              <w:pStyle w:val="0"/>
              <w:jc w:val="center"/>
            </w:pPr>
            <w:r>
              <w:rPr>
                <w:sz w:val="24"/>
              </w:rPr>
              <w:t xml:space="preserve">Заводской (серийный) номер нового технологического оборудования</w:t>
            </w:r>
          </w:p>
        </w:tc>
      </w:tr>
      <w:tr>
        <w:tc>
          <w:tcPr>
            <w:tcW w:w="394" w:type="dxa"/>
            <w:tcBorders>
              <w:left w:val="nil"/>
            </w:tcBorders>
          </w:tcPr>
          <w:p>
            <w:pPr>
              <w:pStyle w:val="0"/>
              <w:jc w:val="center"/>
            </w:pPr>
            <w:r>
              <w:rPr>
                <w:sz w:val="24"/>
              </w:rPr>
              <w:t xml:space="preserve">1</w:t>
            </w:r>
          </w:p>
        </w:tc>
        <w:tc>
          <w:tcPr>
            <w:tcW w:w="1924" w:type="dxa"/>
          </w:tcPr>
          <w:p>
            <w:pPr>
              <w:pStyle w:val="0"/>
              <w:jc w:val="center"/>
            </w:pPr>
            <w:r>
              <w:rPr>
                <w:sz w:val="24"/>
              </w:rPr>
              <w:t xml:space="preserve">2</w:t>
            </w:r>
          </w:p>
        </w:tc>
        <w:tc>
          <w:tcPr>
            <w:tcW w:w="2029" w:type="dxa"/>
          </w:tcPr>
          <w:p>
            <w:pPr>
              <w:pStyle w:val="0"/>
              <w:jc w:val="center"/>
            </w:pPr>
            <w:r>
              <w:rPr>
                <w:sz w:val="24"/>
              </w:rPr>
              <w:t xml:space="preserve">3</w:t>
            </w:r>
          </w:p>
        </w:tc>
        <w:tc>
          <w:tcPr>
            <w:tcW w:w="1999" w:type="dxa"/>
          </w:tcPr>
          <w:p>
            <w:pPr>
              <w:pStyle w:val="0"/>
              <w:jc w:val="center"/>
            </w:pPr>
            <w:r>
              <w:rPr>
                <w:sz w:val="24"/>
              </w:rPr>
              <w:t xml:space="preserve">4</w:t>
            </w:r>
          </w:p>
        </w:tc>
        <w:tc>
          <w:tcPr>
            <w:tcW w:w="1474" w:type="dxa"/>
          </w:tcPr>
          <w:p>
            <w:pPr>
              <w:pStyle w:val="0"/>
              <w:jc w:val="center"/>
            </w:pPr>
            <w:r>
              <w:rPr>
                <w:sz w:val="24"/>
              </w:rPr>
              <w:t xml:space="preserve">5</w:t>
            </w:r>
          </w:p>
        </w:tc>
        <w:tc>
          <w:tcPr>
            <w:tcW w:w="1924" w:type="dxa"/>
          </w:tcPr>
          <w:p>
            <w:pPr>
              <w:pStyle w:val="0"/>
              <w:jc w:val="center"/>
            </w:pPr>
            <w:r>
              <w:rPr>
                <w:sz w:val="24"/>
              </w:rPr>
              <w:t xml:space="preserve">6</w:t>
            </w:r>
          </w:p>
        </w:tc>
        <w:tc>
          <w:tcPr>
            <w:tcW w:w="1924" w:type="dxa"/>
          </w:tcPr>
          <w:p>
            <w:pPr>
              <w:pStyle w:val="0"/>
              <w:jc w:val="center"/>
            </w:pPr>
            <w:r>
              <w:rPr>
                <w:sz w:val="24"/>
              </w:rPr>
              <w:t xml:space="preserve">7</w:t>
            </w:r>
          </w:p>
        </w:tc>
        <w:tc>
          <w:tcPr>
            <w:tcW w:w="1924" w:type="dxa"/>
            <w:tcBorders>
              <w:right w:val="nil"/>
            </w:tcBorders>
          </w:tcPr>
          <w:p>
            <w:pPr>
              <w:pStyle w:val="0"/>
              <w:jc w:val="center"/>
            </w:pPr>
            <w:r>
              <w:rPr>
                <w:sz w:val="24"/>
              </w:rPr>
              <w:t xml:space="preserve">8</w:t>
            </w:r>
          </w:p>
        </w:tc>
      </w:tr>
      <w:tr>
        <w:tc>
          <w:tcPr>
            <w:tcW w:w="394" w:type="dxa"/>
            <w:tcBorders>
              <w:left w:val="nil"/>
            </w:tcBorders>
          </w:tcPr>
          <w:p>
            <w:pPr>
              <w:pStyle w:val="0"/>
              <w:jc w:val="center"/>
            </w:pPr>
            <w:r>
              <w:rPr>
                <w:sz w:val="24"/>
              </w:rPr>
              <w:t xml:space="preserve">1.</w:t>
            </w:r>
          </w:p>
        </w:tc>
        <w:tc>
          <w:tcPr>
            <w:tcW w:w="1924" w:type="dxa"/>
          </w:tcPr>
          <w:p>
            <w:pPr>
              <w:pStyle w:val="0"/>
            </w:pPr>
            <w:r>
              <w:rPr>
                <w:sz w:val="24"/>
              </w:rPr>
            </w:r>
          </w:p>
        </w:tc>
        <w:tc>
          <w:tcPr>
            <w:tcW w:w="2029" w:type="dxa"/>
          </w:tcPr>
          <w:p>
            <w:pPr>
              <w:pStyle w:val="0"/>
            </w:pPr>
            <w:r>
              <w:rPr>
                <w:sz w:val="24"/>
              </w:rPr>
            </w:r>
          </w:p>
        </w:tc>
        <w:tc>
          <w:tcPr>
            <w:tcW w:w="1999" w:type="dxa"/>
          </w:tcPr>
          <w:p>
            <w:pPr>
              <w:pStyle w:val="0"/>
            </w:pPr>
            <w:r>
              <w:rPr>
                <w:sz w:val="24"/>
              </w:rPr>
            </w:r>
          </w:p>
        </w:tc>
        <w:tc>
          <w:tcPr>
            <w:tcW w:w="1474" w:type="dxa"/>
          </w:tcPr>
          <w:p>
            <w:pPr>
              <w:pStyle w:val="0"/>
            </w:pPr>
            <w:r>
              <w:rPr>
                <w:sz w:val="24"/>
              </w:rPr>
            </w:r>
          </w:p>
        </w:tc>
        <w:tc>
          <w:tcPr>
            <w:tcW w:w="1924" w:type="dxa"/>
          </w:tcPr>
          <w:p>
            <w:pPr>
              <w:pStyle w:val="0"/>
            </w:pPr>
            <w:r>
              <w:rPr>
                <w:sz w:val="24"/>
              </w:rPr>
            </w:r>
          </w:p>
        </w:tc>
        <w:tc>
          <w:tcPr>
            <w:tcW w:w="1924" w:type="dxa"/>
          </w:tcPr>
          <w:p>
            <w:pPr>
              <w:pStyle w:val="0"/>
            </w:pPr>
            <w:r>
              <w:rPr>
                <w:sz w:val="24"/>
              </w:rPr>
            </w:r>
          </w:p>
        </w:tc>
        <w:tc>
          <w:tcPr>
            <w:tcW w:w="1924"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1924" w:type="dxa"/>
          </w:tcPr>
          <w:p>
            <w:pPr>
              <w:pStyle w:val="0"/>
            </w:pPr>
            <w:r>
              <w:rPr>
                <w:sz w:val="24"/>
              </w:rPr>
            </w:r>
          </w:p>
        </w:tc>
        <w:tc>
          <w:tcPr>
            <w:tcW w:w="2029" w:type="dxa"/>
          </w:tcPr>
          <w:p>
            <w:pPr>
              <w:pStyle w:val="0"/>
            </w:pPr>
            <w:r>
              <w:rPr>
                <w:sz w:val="24"/>
              </w:rPr>
            </w:r>
          </w:p>
        </w:tc>
        <w:tc>
          <w:tcPr>
            <w:tcW w:w="1999" w:type="dxa"/>
          </w:tcPr>
          <w:p>
            <w:pPr>
              <w:pStyle w:val="0"/>
            </w:pPr>
            <w:r>
              <w:rPr>
                <w:sz w:val="24"/>
              </w:rPr>
            </w:r>
          </w:p>
        </w:tc>
        <w:tc>
          <w:tcPr>
            <w:tcW w:w="1474" w:type="dxa"/>
          </w:tcPr>
          <w:p>
            <w:pPr>
              <w:pStyle w:val="0"/>
            </w:pPr>
            <w:r>
              <w:rPr>
                <w:sz w:val="24"/>
              </w:rPr>
            </w:r>
          </w:p>
        </w:tc>
        <w:tc>
          <w:tcPr>
            <w:tcW w:w="1924" w:type="dxa"/>
          </w:tcPr>
          <w:p>
            <w:pPr>
              <w:pStyle w:val="0"/>
            </w:pPr>
            <w:r>
              <w:rPr>
                <w:sz w:val="24"/>
              </w:rPr>
            </w:r>
          </w:p>
        </w:tc>
        <w:tc>
          <w:tcPr>
            <w:tcW w:w="1924" w:type="dxa"/>
          </w:tcPr>
          <w:p>
            <w:pPr>
              <w:pStyle w:val="0"/>
            </w:pPr>
            <w:r>
              <w:rPr>
                <w:sz w:val="24"/>
              </w:rPr>
            </w:r>
          </w:p>
        </w:tc>
        <w:tc>
          <w:tcPr>
            <w:tcW w:w="1924" w:type="dxa"/>
            <w:tcBorders>
              <w:right w:val="nil"/>
            </w:tcBorders>
          </w:tcPr>
          <w:p>
            <w:pPr>
              <w:pStyle w:val="0"/>
            </w:pPr>
            <w:r>
              <w:rPr>
                <w:sz w:val="24"/>
              </w:rPr>
            </w:r>
          </w:p>
        </w:tc>
      </w:tr>
      <w:tr>
        <w:tc>
          <w:tcPr>
            <w:tcW w:w="394" w:type="dxa"/>
            <w:tcBorders>
              <w:left w:val="nil"/>
            </w:tcBorders>
          </w:tcPr>
          <w:p>
            <w:pPr>
              <w:pStyle w:val="0"/>
              <w:jc w:val="center"/>
            </w:pPr>
            <w:r>
              <w:rPr>
                <w:sz w:val="24"/>
              </w:rPr>
              <w:t xml:space="preserve">3.</w:t>
            </w:r>
          </w:p>
        </w:tc>
        <w:tc>
          <w:tcPr>
            <w:tcW w:w="1924" w:type="dxa"/>
          </w:tcPr>
          <w:p>
            <w:pPr>
              <w:pStyle w:val="0"/>
            </w:pPr>
            <w:r>
              <w:rPr>
                <w:sz w:val="24"/>
              </w:rPr>
            </w:r>
          </w:p>
        </w:tc>
        <w:tc>
          <w:tcPr>
            <w:tcW w:w="2029" w:type="dxa"/>
          </w:tcPr>
          <w:p>
            <w:pPr>
              <w:pStyle w:val="0"/>
            </w:pPr>
            <w:r>
              <w:rPr>
                <w:sz w:val="24"/>
              </w:rPr>
            </w:r>
          </w:p>
        </w:tc>
        <w:tc>
          <w:tcPr>
            <w:tcW w:w="1999" w:type="dxa"/>
          </w:tcPr>
          <w:p>
            <w:pPr>
              <w:pStyle w:val="0"/>
            </w:pPr>
            <w:r>
              <w:rPr>
                <w:sz w:val="24"/>
              </w:rPr>
            </w:r>
          </w:p>
        </w:tc>
        <w:tc>
          <w:tcPr>
            <w:tcW w:w="1474" w:type="dxa"/>
          </w:tcPr>
          <w:p>
            <w:pPr>
              <w:pStyle w:val="0"/>
            </w:pPr>
            <w:r>
              <w:rPr>
                <w:sz w:val="24"/>
              </w:rPr>
            </w:r>
          </w:p>
        </w:tc>
        <w:tc>
          <w:tcPr>
            <w:tcW w:w="1924" w:type="dxa"/>
          </w:tcPr>
          <w:p>
            <w:pPr>
              <w:pStyle w:val="0"/>
            </w:pPr>
            <w:r>
              <w:rPr>
                <w:sz w:val="24"/>
              </w:rPr>
            </w:r>
          </w:p>
        </w:tc>
        <w:tc>
          <w:tcPr>
            <w:tcW w:w="1924" w:type="dxa"/>
          </w:tcPr>
          <w:p>
            <w:pPr>
              <w:pStyle w:val="0"/>
            </w:pPr>
            <w:r>
              <w:rPr>
                <w:sz w:val="24"/>
              </w:rPr>
            </w:r>
          </w:p>
        </w:tc>
        <w:tc>
          <w:tcPr>
            <w:tcW w:w="1924" w:type="dxa"/>
            <w:tcBorders>
              <w:right w:val="nil"/>
            </w:tcBorders>
          </w:tcPr>
          <w:p>
            <w:pPr>
              <w:pStyle w:val="0"/>
            </w:pPr>
            <w:r>
              <w:rPr>
                <w:sz w:val="24"/>
              </w:rPr>
            </w:r>
          </w:p>
        </w:tc>
      </w:tr>
      <w:tr>
        <w:tc>
          <w:tcPr>
            <w:tcW w:w="394" w:type="dxa"/>
            <w:tcBorders>
              <w:left w:val="nil"/>
            </w:tcBorders>
          </w:tcPr>
          <w:p>
            <w:pPr>
              <w:pStyle w:val="0"/>
              <w:jc w:val="center"/>
            </w:pPr>
            <w:r>
              <w:rPr>
                <w:sz w:val="24"/>
              </w:rPr>
              <w:t xml:space="preserve">4.</w:t>
            </w:r>
          </w:p>
        </w:tc>
        <w:tc>
          <w:tcPr>
            <w:tcW w:w="1924" w:type="dxa"/>
          </w:tcPr>
          <w:p>
            <w:pPr>
              <w:pStyle w:val="0"/>
            </w:pPr>
            <w:r>
              <w:rPr>
                <w:sz w:val="24"/>
              </w:rPr>
            </w:r>
          </w:p>
        </w:tc>
        <w:tc>
          <w:tcPr>
            <w:tcW w:w="2029" w:type="dxa"/>
          </w:tcPr>
          <w:p>
            <w:pPr>
              <w:pStyle w:val="0"/>
            </w:pPr>
            <w:r>
              <w:rPr>
                <w:sz w:val="24"/>
              </w:rPr>
            </w:r>
          </w:p>
        </w:tc>
        <w:tc>
          <w:tcPr>
            <w:tcW w:w="1999" w:type="dxa"/>
          </w:tcPr>
          <w:p>
            <w:pPr>
              <w:pStyle w:val="0"/>
            </w:pPr>
            <w:r>
              <w:rPr>
                <w:sz w:val="24"/>
              </w:rPr>
            </w:r>
          </w:p>
        </w:tc>
        <w:tc>
          <w:tcPr>
            <w:tcW w:w="1474" w:type="dxa"/>
          </w:tcPr>
          <w:p>
            <w:pPr>
              <w:pStyle w:val="0"/>
            </w:pPr>
            <w:r>
              <w:rPr>
                <w:sz w:val="24"/>
              </w:rPr>
            </w:r>
          </w:p>
        </w:tc>
        <w:tc>
          <w:tcPr>
            <w:tcW w:w="1924" w:type="dxa"/>
          </w:tcPr>
          <w:p>
            <w:pPr>
              <w:pStyle w:val="0"/>
            </w:pPr>
            <w:r>
              <w:rPr>
                <w:sz w:val="24"/>
              </w:rPr>
            </w:r>
          </w:p>
        </w:tc>
        <w:tc>
          <w:tcPr>
            <w:tcW w:w="1924" w:type="dxa"/>
          </w:tcPr>
          <w:p>
            <w:pPr>
              <w:pStyle w:val="0"/>
            </w:pPr>
            <w:r>
              <w:rPr>
                <w:sz w:val="24"/>
              </w:rPr>
            </w:r>
          </w:p>
        </w:tc>
        <w:tc>
          <w:tcPr>
            <w:tcW w:w="1924" w:type="dxa"/>
            <w:tcBorders>
              <w:right w:val="nil"/>
            </w:tcBorders>
          </w:tcPr>
          <w:p>
            <w:pPr>
              <w:pStyle w:val="0"/>
            </w:pPr>
            <w:r>
              <w:rPr>
                <w:sz w:val="24"/>
              </w:rPr>
            </w:r>
          </w:p>
        </w:tc>
      </w:tr>
      <w:tr>
        <w:tc>
          <w:tcPr>
            <w:tcW w:w="394" w:type="dxa"/>
            <w:tcBorders>
              <w:left w:val="nil"/>
            </w:tcBorders>
          </w:tcPr>
          <w:p>
            <w:pPr>
              <w:pStyle w:val="0"/>
              <w:jc w:val="center"/>
            </w:pPr>
            <w:r>
              <w:rPr>
                <w:sz w:val="24"/>
              </w:rPr>
              <w:t xml:space="preserve">...</w:t>
            </w:r>
          </w:p>
        </w:tc>
        <w:tc>
          <w:tcPr>
            <w:tcW w:w="1924" w:type="dxa"/>
          </w:tcPr>
          <w:p>
            <w:pPr>
              <w:pStyle w:val="0"/>
            </w:pPr>
            <w:r>
              <w:rPr>
                <w:sz w:val="24"/>
              </w:rPr>
            </w:r>
          </w:p>
        </w:tc>
        <w:tc>
          <w:tcPr>
            <w:tcW w:w="2029" w:type="dxa"/>
          </w:tcPr>
          <w:p>
            <w:pPr>
              <w:pStyle w:val="0"/>
            </w:pPr>
            <w:r>
              <w:rPr>
                <w:sz w:val="24"/>
              </w:rPr>
            </w:r>
          </w:p>
        </w:tc>
        <w:tc>
          <w:tcPr>
            <w:tcW w:w="1999" w:type="dxa"/>
          </w:tcPr>
          <w:p>
            <w:pPr>
              <w:pStyle w:val="0"/>
            </w:pPr>
            <w:r>
              <w:rPr>
                <w:sz w:val="24"/>
              </w:rPr>
            </w:r>
          </w:p>
        </w:tc>
        <w:tc>
          <w:tcPr>
            <w:tcW w:w="1474" w:type="dxa"/>
          </w:tcPr>
          <w:p>
            <w:pPr>
              <w:pStyle w:val="0"/>
            </w:pPr>
            <w:r>
              <w:rPr>
                <w:sz w:val="24"/>
              </w:rPr>
            </w:r>
          </w:p>
        </w:tc>
        <w:tc>
          <w:tcPr>
            <w:tcW w:w="1924" w:type="dxa"/>
          </w:tcPr>
          <w:p>
            <w:pPr>
              <w:pStyle w:val="0"/>
            </w:pPr>
            <w:r>
              <w:rPr>
                <w:sz w:val="24"/>
              </w:rPr>
            </w:r>
          </w:p>
        </w:tc>
        <w:tc>
          <w:tcPr>
            <w:tcW w:w="1924" w:type="dxa"/>
          </w:tcPr>
          <w:p>
            <w:pPr>
              <w:pStyle w:val="0"/>
            </w:pPr>
            <w:r>
              <w:rPr>
                <w:sz w:val="24"/>
              </w:rPr>
            </w:r>
          </w:p>
        </w:tc>
        <w:tc>
          <w:tcPr>
            <w:tcW w:w="1924" w:type="dxa"/>
            <w:tcBorders>
              <w:right w:val="nil"/>
            </w:tcBorders>
          </w:tcPr>
          <w:p>
            <w:pPr>
              <w:pStyle w:val="0"/>
            </w:pPr>
            <w:r>
              <w:rPr>
                <w:sz w:val="24"/>
              </w:rPr>
            </w:r>
          </w:p>
        </w:tc>
      </w:tr>
    </w:tbl>
    <w:p>
      <w:pPr>
        <w:pStyle w:val="0"/>
        <w:jc w:val="both"/>
      </w:pPr>
      <w:r>
        <w:rPr>
          <w:sz w:val="24"/>
        </w:rPr>
      </w:r>
    </w:p>
    <w:p>
      <w:pPr>
        <w:pStyle w:val="1"/>
        <w:jc w:val="both"/>
      </w:pPr>
      <w:r>
        <w:rPr>
          <w:sz w:val="20"/>
        </w:rPr>
        <w:t xml:space="preserve">    --------------------------------</w:t>
      </w:r>
    </w:p>
    <w:bookmarkStart w:id="787" w:name="P787"/>
    <w:bookmarkEnd w:id="787"/>
    <w:p>
      <w:pPr>
        <w:pStyle w:val="1"/>
        <w:jc w:val="both"/>
      </w:pPr>
      <w:r>
        <w:rPr>
          <w:sz w:val="20"/>
        </w:rPr>
        <w:t xml:space="preserve">    &lt;*&gt;   Если   новое   технологическое   оборудование   находится  не  по</w:t>
      </w:r>
    </w:p>
    <w:p>
      <w:pPr>
        <w:pStyle w:val="1"/>
        <w:jc w:val="both"/>
      </w:pPr>
      <w:r>
        <w:rPr>
          <w:sz w:val="20"/>
        </w:rPr>
        <w:t xml:space="preserve">юридическому   (фактическому)  адресу  юридического  лица,  индивидуального</w:t>
      </w:r>
    </w:p>
    <w:p>
      <w:pPr>
        <w:pStyle w:val="1"/>
        <w:jc w:val="both"/>
      </w:pPr>
      <w:r>
        <w:rPr>
          <w:sz w:val="20"/>
        </w:rPr>
        <w:t xml:space="preserve">предпринимателя,  также  указываются  реквизиты  документа, подтверждающего</w:t>
      </w:r>
    </w:p>
    <w:p>
      <w:pPr>
        <w:pStyle w:val="1"/>
        <w:jc w:val="both"/>
      </w:pPr>
      <w:r>
        <w:rPr>
          <w:sz w:val="20"/>
        </w:rPr>
        <w:t xml:space="preserve">местонахождение   оборудования   вне   юридического  (фактического)  адреса</w:t>
      </w:r>
    </w:p>
    <w:p>
      <w:pPr>
        <w:pStyle w:val="1"/>
        <w:jc w:val="both"/>
      </w:pPr>
      <w:r>
        <w:rPr>
          <w:sz w:val="20"/>
        </w:rPr>
        <w:t xml:space="preserve">юридического лица, индивидуального предпринимателя.</w:t>
      </w:r>
    </w:p>
    <w:p>
      <w:pPr>
        <w:pStyle w:val="1"/>
        <w:jc w:val="both"/>
      </w:pPr>
      <w:r>
        <w:rPr>
          <w:sz w:val="20"/>
        </w:rPr>
      </w:r>
    </w:p>
    <w:p>
      <w:pPr>
        <w:pStyle w:val="1"/>
        <w:jc w:val="both"/>
      </w:pPr>
      <w:r>
        <w:rPr>
          <w:sz w:val="20"/>
        </w:rPr>
        <w:t xml:space="preserve">    Настоящим  подтверждаем(ю)  обязательство целевого использования нового</w:t>
      </w:r>
    </w:p>
    <w:p>
      <w:pPr>
        <w:pStyle w:val="1"/>
        <w:jc w:val="both"/>
      </w:pPr>
      <w:r>
        <w:rPr>
          <w:sz w:val="20"/>
        </w:rPr>
        <w:t xml:space="preserve">технологического   оборудования  в  течение  срока  действия  соглашения  о</w:t>
      </w:r>
    </w:p>
    <w:p>
      <w:pPr>
        <w:pStyle w:val="1"/>
        <w:jc w:val="both"/>
      </w:pPr>
      <w:r>
        <w:rPr>
          <w:sz w:val="20"/>
        </w:rPr>
        <w:t xml:space="preserve">предоставлении  субсидии,  заключенного  с  Министерством  промышленности и</w:t>
      </w:r>
    </w:p>
    <w:p>
      <w:pPr>
        <w:pStyle w:val="1"/>
        <w:jc w:val="both"/>
      </w:pPr>
      <w:r>
        <w:rPr>
          <w:sz w:val="20"/>
        </w:rPr>
        <w:t xml:space="preserve">энергетики   Чувашской   Республики   в   соответствии  с  типовой  формой,</w:t>
      </w:r>
    </w:p>
    <w:p>
      <w:pPr>
        <w:pStyle w:val="1"/>
        <w:jc w:val="both"/>
      </w:pPr>
      <w:r>
        <w:rPr>
          <w:sz w:val="20"/>
        </w:rPr>
        <w:t xml:space="preserve">утвержденной Министерством финансов Российской Федерации.</w:t>
      </w:r>
    </w:p>
    <w:p>
      <w:pPr>
        <w:pStyle w:val="1"/>
        <w:jc w:val="both"/>
      </w:pPr>
      <w:r>
        <w:rPr>
          <w:sz w:val="20"/>
        </w:rPr>
      </w:r>
    </w:p>
    <w:p>
      <w:pPr>
        <w:pStyle w:val="1"/>
        <w:jc w:val="both"/>
      </w:pPr>
      <w:r>
        <w:rPr>
          <w:sz w:val="20"/>
        </w:rPr>
        <w:t xml:space="preserve">Руководитель</w:t>
      </w:r>
    </w:p>
    <w:p>
      <w:pPr>
        <w:pStyle w:val="1"/>
        <w:jc w:val="both"/>
      </w:pPr>
      <w:r>
        <w:rPr>
          <w:sz w:val="20"/>
        </w:rPr>
        <w:t xml:space="preserve">(индивидуальный предприниматель) _______________   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_____ ____________ 20___ г.</w:t>
      </w:r>
    </w:p>
    <w:p>
      <w:pPr>
        <w:sectPr>
          <w:headerReference w:type="default" r:id="rId94"/>
          <w:headerReference w:type="first" r:id="rId94"/>
          <w:footerReference w:type="default" r:id="rId95"/>
          <w:footerReference w:type="first" r:id="rId95"/>
          <w:pgSz w:w="16838" w:h="11906" w:orient="landscape"/>
          <w:pgMar w:top="1133" w:right="1440" w:bottom="566" w:left="1440" w:header="0" w:footer="0" w:gutter="0"/>
          <w:titlePg/>
        </w:sectPr>
      </w:pP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823" w:name="P823"/>
    <w:bookmarkEnd w:id="823"/>
    <w:p>
      <w:pPr>
        <w:pStyle w:val="1"/>
        <w:jc w:val="both"/>
      </w:pPr>
      <w:r>
        <w:rPr>
          <w:sz w:val="20"/>
        </w:rPr>
        <w:t xml:space="preserve">                                 СВЕДЕНИЯ</w:t>
      </w:r>
    </w:p>
    <w:p>
      <w:pPr>
        <w:pStyle w:val="1"/>
        <w:jc w:val="both"/>
      </w:pPr>
      <w:r>
        <w:rPr>
          <w:sz w:val="20"/>
        </w:rPr>
        <w:t xml:space="preserve">                   об инвестициях в нефинансовые активы</w:t>
      </w:r>
    </w:p>
    <w:p>
      <w:pPr>
        <w:pStyle w:val="1"/>
        <w:jc w:val="both"/>
      </w:pPr>
      <w:r>
        <w:rPr>
          <w:sz w:val="20"/>
        </w:rPr>
        <w:t xml:space="preserve">                   за _________________________20___ г.</w:t>
      </w:r>
    </w:p>
    <w:p>
      <w:pPr>
        <w:pStyle w:val="1"/>
        <w:jc w:val="both"/>
      </w:pPr>
      <w:r>
        <w:rPr>
          <w:sz w:val="20"/>
        </w:rPr>
      </w:r>
    </w:p>
    <w:p>
      <w:pPr>
        <w:pStyle w:val="1"/>
        <w:jc w:val="both"/>
      </w:pPr>
      <w:r>
        <w:rPr>
          <w:sz w:val="20"/>
        </w:rPr>
        <w:t xml:space="preserve">Наименование, ИНН юридического лица (индивидуального предпринимателя)</w:t>
      </w:r>
    </w:p>
    <w:p>
      <w:pPr>
        <w:pStyle w:val="1"/>
        <w:jc w:val="both"/>
      </w:pPr>
      <w:r>
        <w:rPr>
          <w:sz w:val="20"/>
        </w:rPr>
        <w:t xml:space="preserve">___________________________________________________________________________</w:t>
      </w:r>
    </w:p>
    <w:p>
      <w:pPr>
        <w:pStyle w:val="1"/>
        <w:jc w:val="both"/>
      </w:pPr>
      <w:r>
        <w:rPr>
          <w:sz w:val="20"/>
        </w:rPr>
        <w:t xml:space="preserve">Почтовый адрес ____________________________________________________________</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4203"/>
        <w:gridCol w:w="786"/>
        <w:gridCol w:w="399"/>
        <w:gridCol w:w="1196"/>
        <w:gridCol w:w="2034"/>
        <w:gridCol w:w="409"/>
      </w:tblGrid>
      <w:tr>
        <w:tc>
          <w:tcPr>
            <w:gridSpan w:val="6"/>
            <w:tcW w:w="9027" w:type="dxa"/>
            <w:tcBorders>
              <w:left w:val="nil"/>
              <w:right w:val="nil"/>
            </w:tcBorders>
          </w:tcPr>
          <w:p>
            <w:pPr>
              <w:pStyle w:val="0"/>
              <w:jc w:val="center"/>
            </w:pPr>
            <w:r>
              <w:rPr>
                <w:sz w:val="24"/>
              </w:rPr>
              <w:t xml:space="preserve">Раздел 1.</w:t>
            </w:r>
          </w:p>
        </w:tc>
      </w:tr>
      <w:tr>
        <w:tc>
          <w:tcPr>
            <w:gridSpan w:val="6"/>
            <w:tcW w:w="9027" w:type="dxa"/>
            <w:tcBorders>
              <w:left w:val="nil"/>
              <w:right w:val="nil"/>
            </w:tcBorders>
          </w:tcPr>
          <w:p>
            <w:pPr>
              <w:pStyle w:val="0"/>
              <w:jc w:val="center"/>
            </w:pPr>
            <w:r>
              <w:rPr>
                <w:sz w:val="24"/>
              </w:rPr>
              <w:t xml:space="preserve">Инвестиции в нефинансовые активы, тыс. рублей</w:t>
            </w:r>
          </w:p>
        </w:tc>
      </w:tr>
      <w:tr>
        <w:tc>
          <w:tcPr>
            <w:tcW w:w="4203" w:type="dxa"/>
            <w:tcBorders>
              <w:left w:val="nil"/>
            </w:tcBorders>
          </w:tcPr>
          <w:p>
            <w:pPr>
              <w:pStyle w:val="0"/>
              <w:jc w:val="center"/>
            </w:pPr>
            <w:r>
              <w:rPr>
                <w:sz w:val="24"/>
              </w:rPr>
              <w:t xml:space="preserve">Наименование показателя</w:t>
            </w:r>
          </w:p>
        </w:tc>
        <w:tc>
          <w:tcPr>
            <w:gridSpan w:val="3"/>
            <w:tcW w:w="2381" w:type="dxa"/>
          </w:tcPr>
          <w:p>
            <w:pPr>
              <w:pStyle w:val="0"/>
              <w:jc w:val="center"/>
            </w:pPr>
            <w:r>
              <w:rPr>
                <w:sz w:val="24"/>
              </w:rPr>
              <w:t xml:space="preserve">За период с начала отчетного года</w:t>
            </w:r>
          </w:p>
        </w:tc>
        <w:tc>
          <w:tcPr>
            <w:gridSpan w:val="2"/>
            <w:tcW w:w="2443" w:type="dxa"/>
            <w:tcBorders>
              <w:right w:val="nil"/>
            </w:tcBorders>
          </w:tcPr>
          <w:p>
            <w:pPr>
              <w:pStyle w:val="0"/>
              <w:jc w:val="center"/>
            </w:pPr>
            <w:r>
              <w:rPr>
                <w:sz w:val="24"/>
              </w:rPr>
              <w:t xml:space="preserve">За предыдущий год</w:t>
            </w:r>
          </w:p>
        </w:tc>
      </w:tr>
      <w:tr>
        <w:tc>
          <w:tcPr>
            <w:tcW w:w="4203" w:type="dxa"/>
            <w:tcBorders>
              <w:left w:val="nil"/>
            </w:tcBorders>
          </w:tcPr>
          <w:p>
            <w:pPr>
              <w:pStyle w:val="0"/>
              <w:jc w:val="center"/>
            </w:pPr>
            <w:r>
              <w:rPr>
                <w:sz w:val="24"/>
              </w:rPr>
              <w:t xml:space="preserve">1</w:t>
            </w:r>
          </w:p>
        </w:tc>
        <w:tc>
          <w:tcPr>
            <w:gridSpan w:val="3"/>
            <w:tcW w:w="2381" w:type="dxa"/>
          </w:tcPr>
          <w:p>
            <w:pPr>
              <w:pStyle w:val="0"/>
              <w:jc w:val="center"/>
            </w:pPr>
            <w:r>
              <w:rPr>
                <w:sz w:val="24"/>
              </w:rPr>
              <w:t xml:space="preserve">2</w:t>
            </w:r>
          </w:p>
        </w:tc>
        <w:tc>
          <w:tcPr>
            <w:gridSpan w:val="2"/>
            <w:tcW w:w="2443" w:type="dxa"/>
            <w:tcBorders>
              <w:right w:val="nil"/>
            </w:tcBorders>
          </w:tcPr>
          <w:p>
            <w:pPr>
              <w:pStyle w:val="0"/>
              <w:jc w:val="center"/>
            </w:pPr>
            <w:r>
              <w:rPr>
                <w:sz w:val="24"/>
              </w:rPr>
              <w:t xml:space="preserve">3</w:t>
            </w:r>
          </w:p>
        </w:tc>
      </w:tr>
      <w:tr>
        <w:tc>
          <w:tcPr>
            <w:tcW w:w="4203" w:type="dxa"/>
            <w:tcBorders>
              <w:left w:val="nil"/>
            </w:tcBorders>
          </w:tcPr>
          <w:p>
            <w:pPr>
              <w:pStyle w:val="0"/>
              <w:jc w:val="center"/>
            </w:pPr>
            <w:r>
              <w:rPr>
                <w:sz w:val="24"/>
              </w:rPr>
              <w:t xml:space="preserve">А</w:t>
            </w:r>
          </w:p>
        </w:tc>
        <w:tc>
          <w:tcPr>
            <w:gridSpan w:val="3"/>
            <w:tcW w:w="2381" w:type="dxa"/>
          </w:tcPr>
          <w:p>
            <w:pPr>
              <w:pStyle w:val="0"/>
              <w:jc w:val="center"/>
            </w:pPr>
            <w:r>
              <w:rPr>
                <w:sz w:val="24"/>
              </w:rPr>
              <w:t xml:space="preserve">1</w:t>
            </w:r>
          </w:p>
        </w:tc>
        <w:tc>
          <w:tcPr>
            <w:gridSpan w:val="2"/>
            <w:tcW w:w="2443" w:type="dxa"/>
            <w:tcBorders>
              <w:right w:val="nil"/>
            </w:tcBorders>
          </w:tcPr>
          <w:p>
            <w:pPr>
              <w:pStyle w:val="0"/>
              <w:jc w:val="center"/>
            </w:pPr>
            <w:r>
              <w:rPr>
                <w:sz w:val="24"/>
              </w:rPr>
              <w:t xml:space="preserve">2</w:t>
            </w:r>
          </w:p>
        </w:tc>
      </w:tr>
      <w:tr>
        <w:tc>
          <w:tcPr>
            <w:tcW w:w="4203" w:type="dxa"/>
            <w:tcBorders>
              <w:left w:val="nil"/>
            </w:tcBorders>
          </w:tcPr>
          <w:p>
            <w:pPr>
              <w:pStyle w:val="0"/>
              <w:jc w:val="both"/>
            </w:pPr>
            <w:r>
              <w:rPr>
                <w:sz w:val="24"/>
              </w:rPr>
              <w:t xml:space="preserve">Инвестиции в основной капитал</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blPrEx>
          <w:tblBorders>
            <w:insideH w:val="nil"/>
          </w:tblBorders>
        </w:tblPrEx>
        <w:tc>
          <w:tcPr>
            <w:tcW w:w="4203" w:type="dxa"/>
            <w:tcBorders>
              <w:left w:val="nil"/>
              <w:bottom w:val="nil"/>
            </w:tcBorders>
          </w:tcPr>
          <w:p>
            <w:pPr>
              <w:pStyle w:val="0"/>
              <w:jc w:val="both"/>
            </w:pPr>
            <w:r>
              <w:rPr>
                <w:sz w:val="24"/>
              </w:rPr>
              <w:t xml:space="preserve">в том числе:</w:t>
            </w:r>
          </w:p>
        </w:tc>
        <w:tc>
          <w:tcPr>
            <w:gridSpan w:val="3"/>
            <w:tcW w:w="2381" w:type="dxa"/>
            <w:tcBorders>
              <w:bottom w:val="nil"/>
            </w:tcBorders>
          </w:tcPr>
          <w:p>
            <w:pPr>
              <w:pStyle w:val="0"/>
            </w:pPr>
            <w:r>
              <w:rPr>
                <w:sz w:val="24"/>
              </w:rPr>
            </w:r>
          </w:p>
        </w:tc>
        <w:tc>
          <w:tcPr>
            <w:gridSpan w:val="2"/>
            <w:tcW w:w="2443" w:type="dxa"/>
            <w:tcBorders>
              <w:bottom w:val="nil"/>
              <w:right w:val="nil"/>
            </w:tcBorders>
          </w:tcPr>
          <w:p>
            <w:pPr>
              <w:pStyle w:val="0"/>
            </w:pPr>
            <w:r>
              <w:rPr>
                <w:sz w:val="24"/>
              </w:rPr>
            </w:r>
          </w:p>
        </w:tc>
      </w:tr>
      <w:tr>
        <w:tblPrEx>
          <w:tblBorders>
            <w:insideH w:val="nil"/>
          </w:tblBorders>
        </w:tblPrEx>
        <w:tc>
          <w:tcPr>
            <w:tcW w:w="4203" w:type="dxa"/>
            <w:tcBorders>
              <w:top w:val="nil"/>
              <w:left w:val="nil"/>
            </w:tcBorders>
          </w:tcPr>
          <w:p>
            <w:pPr>
              <w:pStyle w:val="0"/>
              <w:jc w:val="both"/>
            </w:pPr>
            <w:r>
              <w:rPr>
                <w:sz w:val="24"/>
              </w:rPr>
              <w:t xml:space="preserve">жилые здания и помещения</w:t>
            </w:r>
          </w:p>
        </w:tc>
        <w:tc>
          <w:tcPr>
            <w:gridSpan w:val="3"/>
            <w:tcW w:w="2381" w:type="dxa"/>
            <w:tcBorders>
              <w:top w:val="nil"/>
            </w:tcBorders>
          </w:tcPr>
          <w:p>
            <w:pPr>
              <w:pStyle w:val="0"/>
            </w:pPr>
            <w:r>
              <w:rPr>
                <w:sz w:val="24"/>
              </w:rPr>
            </w:r>
          </w:p>
        </w:tc>
        <w:tc>
          <w:tcPr>
            <w:gridSpan w:val="2"/>
            <w:tcW w:w="2443" w:type="dxa"/>
            <w:tcBorders>
              <w:top w:val="nil"/>
              <w:right w:val="nil"/>
            </w:tcBorders>
          </w:tcPr>
          <w:p>
            <w:pPr>
              <w:pStyle w:val="0"/>
            </w:pPr>
            <w:r>
              <w:rPr>
                <w:sz w:val="24"/>
              </w:rPr>
            </w:r>
          </w:p>
        </w:tc>
      </w:tr>
      <w:tr>
        <w:tc>
          <w:tcPr>
            <w:tcW w:w="4203" w:type="dxa"/>
            <w:tcBorders>
              <w:left w:val="nil"/>
            </w:tcBorders>
          </w:tcPr>
          <w:p>
            <w:pPr>
              <w:pStyle w:val="0"/>
              <w:jc w:val="both"/>
            </w:pPr>
            <w:r>
              <w:rPr>
                <w:sz w:val="24"/>
              </w:rPr>
              <w:t xml:space="preserve">здания (кроме жилых)</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c>
          <w:tcPr>
            <w:tcW w:w="4203" w:type="dxa"/>
            <w:tcBorders>
              <w:left w:val="nil"/>
            </w:tcBorders>
          </w:tcPr>
          <w:p>
            <w:pPr>
              <w:pStyle w:val="0"/>
              <w:jc w:val="both"/>
            </w:pPr>
            <w:r>
              <w:rPr>
                <w:sz w:val="24"/>
              </w:rPr>
              <w:t xml:space="preserve">сооружения</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c>
          <w:tcPr>
            <w:tcW w:w="4203" w:type="dxa"/>
            <w:tcBorders>
              <w:left w:val="nil"/>
            </w:tcBorders>
          </w:tcPr>
          <w:p>
            <w:pPr>
              <w:pStyle w:val="0"/>
              <w:jc w:val="both"/>
            </w:pPr>
            <w:r>
              <w:rPr>
                <w:sz w:val="24"/>
              </w:rPr>
              <w:t xml:space="preserve">расходы на улучшение земель</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c>
          <w:tcPr>
            <w:tcW w:w="4203" w:type="dxa"/>
            <w:tcBorders>
              <w:left w:val="nil"/>
            </w:tcBorders>
          </w:tcPr>
          <w:p>
            <w:pPr>
              <w:pStyle w:val="0"/>
              <w:jc w:val="both"/>
            </w:pPr>
            <w:r>
              <w:rPr>
                <w:sz w:val="24"/>
              </w:rPr>
              <w:t xml:space="preserve">транспортные средства</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c>
          <w:tcPr>
            <w:tcW w:w="4203" w:type="dxa"/>
            <w:tcBorders>
              <w:left w:val="nil"/>
            </w:tcBorders>
          </w:tcPr>
          <w:p>
            <w:pPr>
              <w:pStyle w:val="0"/>
              <w:jc w:val="both"/>
            </w:pPr>
            <w:r>
              <w:rPr>
                <w:sz w:val="24"/>
              </w:rPr>
              <w:t xml:space="preserve">информационное, компьютерное и телекоммуникационное оборудование</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c>
          <w:tcPr>
            <w:tcW w:w="4203" w:type="dxa"/>
            <w:tcBorders>
              <w:left w:val="nil"/>
            </w:tcBorders>
          </w:tcPr>
          <w:p>
            <w:pPr>
              <w:pStyle w:val="0"/>
              <w:jc w:val="both"/>
            </w:pPr>
            <w:r>
              <w:rPr>
                <w:sz w:val="24"/>
              </w:rPr>
              <w:t xml:space="preserve">прочие машины и оборудование, включая хозяйственный инвентарь, и другие объекты</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c>
          <w:tcPr>
            <w:tcW w:w="4203" w:type="dxa"/>
            <w:tcBorders>
              <w:left w:val="nil"/>
            </w:tcBorders>
          </w:tcPr>
          <w:p>
            <w:pPr>
              <w:pStyle w:val="0"/>
              <w:jc w:val="both"/>
            </w:pPr>
            <w:r>
              <w:rPr>
                <w:sz w:val="24"/>
              </w:rPr>
              <w:t xml:space="preserve">объекты интеллектуальной собственности</w:t>
            </w:r>
          </w:p>
        </w:tc>
        <w:tc>
          <w:tcPr>
            <w:gridSpan w:val="3"/>
            <w:tcW w:w="2381" w:type="dxa"/>
          </w:tcPr>
          <w:p>
            <w:pPr>
              <w:pStyle w:val="0"/>
            </w:pPr>
            <w:r>
              <w:rPr>
                <w:sz w:val="24"/>
              </w:rPr>
            </w:r>
          </w:p>
        </w:tc>
        <w:tc>
          <w:tcPr>
            <w:gridSpan w:val="2"/>
            <w:tcW w:w="2443" w:type="dxa"/>
            <w:tcBorders>
              <w:right w:val="nil"/>
            </w:tcBorders>
          </w:tcPr>
          <w:p>
            <w:pPr>
              <w:pStyle w:val="0"/>
            </w:pPr>
            <w:r>
              <w:rPr>
                <w:sz w:val="24"/>
              </w:rPr>
            </w:r>
          </w:p>
        </w:tc>
      </w:tr>
      <w:tr>
        <w:tblPrEx>
          <w:tblBorders>
            <w:insideH w:val="nil"/>
          </w:tblBorders>
        </w:tblPrEx>
        <w:tc>
          <w:tcPr>
            <w:tcW w:w="4203" w:type="dxa"/>
            <w:tcBorders>
              <w:left w:val="nil"/>
              <w:bottom w:val="nil"/>
            </w:tcBorders>
          </w:tcPr>
          <w:p>
            <w:pPr>
              <w:pStyle w:val="0"/>
              <w:jc w:val="both"/>
            </w:pPr>
            <w:r>
              <w:rPr>
                <w:sz w:val="24"/>
              </w:rPr>
              <w:t xml:space="preserve">из них:</w:t>
            </w:r>
          </w:p>
        </w:tc>
        <w:tc>
          <w:tcPr>
            <w:gridSpan w:val="3"/>
            <w:tcW w:w="2381" w:type="dxa"/>
            <w:tcBorders>
              <w:bottom w:val="nil"/>
            </w:tcBorders>
          </w:tcPr>
          <w:p>
            <w:pPr>
              <w:pStyle w:val="0"/>
            </w:pPr>
            <w:r>
              <w:rPr>
                <w:sz w:val="24"/>
              </w:rPr>
            </w:r>
          </w:p>
        </w:tc>
        <w:tc>
          <w:tcPr>
            <w:gridSpan w:val="2"/>
            <w:tcW w:w="2443" w:type="dxa"/>
            <w:tcBorders>
              <w:bottom w:val="nil"/>
              <w:right w:val="nil"/>
            </w:tcBorders>
          </w:tcPr>
          <w:p>
            <w:pPr>
              <w:pStyle w:val="0"/>
            </w:pPr>
            <w:r>
              <w:rPr>
                <w:sz w:val="24"/>
              </w:rPr>
            </w:r>
          </w:p>
        </w:tc>
      </w:tr>
      <w:tr>
        <w:tblPrEx>
          <w:tblBorders>
            <w:insideH w:val="nil"/>
          </w:tblBorders>
        </w:tblPrEx>
        <w:tc>
          <w:tcPr>
            <w:tcW w:w="4203" w:type="dxa"/>
            <w:tcBorders>
              <w:top w:val="nil"/>
              <w:left w:val="nil"/>
            </w:tcBorders>
          </w:tcPr>
          <w:p>
            <w:pPr>
              <w:pStyle w:val="0"/>
              <w:jc w:val="both"/>
            </w:pPr>
            <w:r>
              <w:rPr>
                <w:sz w:val="24"/>
              </w:rPr>
              <w:t xml:space="preserve">научные исследования и разработки</w:t>
            </w:r>
          </w:p>
        </w:tc>
        <w:tc>
          <w:tcPr>
            <w:gridSpan w:val="3"/>
            <w:tcW w:w="2381" w:type="dxa"/>
            <w:tcBorders>
              <w:top w:val="nil"/>
            </w:tcBorders>
          </w:tcPr>
          <w:p>
            <w:pPr>
              <w:pStyle w:val="0"/>
            </w:pPr>
            <w:r>
              <w:rPr>
                <w:sz w:val="24"/>
              </w:rPr>
            </w:r>
          </w:p>
        </w:tc>
        <w:tc>
          <w:tcPr>
            <w:gridSpan w:val="2"/>
            <w:tcW w:w="2443" w:type="dxa"/>
            <w:tcBorders>
              <w:top w:val="nil"/>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расходы на разведку недр и оценку запасов полезных ископаемых</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программное обеспечение, базы данных</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оригиналы произведений развлекательного жанра, литературы и искусства</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права пользования нематериальными активами</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прочие инвестиции</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blPrEx>
          <w:tblBorders>
            <w:insideH w:val="nil"/>
          </w:tblBorders>
        </w:tblPrEx>
        <w:tc>
          <w:tcPr>
            <w:tcW w:w="4203" w:type="dxa"/>
            <w:tcBorders>
              <w:left w:val="nil"/>
              <w:bottom w:val="nil"/>
            </w:tcBorders>
          </w:tcPr>
          <w:p>
            <w:pPr>
              <w:pStyle w:val="0"/>
              <w:jc w:val="both"/>
            </w:pPr>
            <w:r>
              <w:rPr>
                <w:sz w:val="24"/>
              </w:rPr>
              <w:t xml:space="preserve">из них:</w:t>
            </w:r>
          </w:p>
        </w:tc>
        <w:tc>
          <w:tcPr>
            <w:gridSpan w:val="3"/>
            <w:tcW w:w="2381" w:type="dxa"/>
            <w:tcBorders>
              <w:bottom w:val="nil"/>
            </w:tcBorders>
          </w:tcPr>
          <w:p>
            <w:pPr>
              <w:pStyle w:val="0"/>
            </w:pPr>
            <w:r>
              <w:rPr>
                <w:sz w:val="24"/>
              </w:rPr>
            </w:r>
          </w:p>
        </w:tc>
        <w:tc>
          <w:tcPr>
            <w:gridSpan w:val="2"/>
            <w:tcW w:w="2443" w:type="dxa"/>
            <w:tcBorders>
              <w:bottom w:val="nil"/>
              <w:right w:val="nil"/>
            </w:tcBorders>
          </w:tcPr>
          <w:p>
            <w:pPr>
              <w:pStyle w:val="0"/>
              <w:jc w:val="center"/>
            </w:pPr>
            <w:r>
              <w:rPr>
                <w:sz w:val="24"/>
              </w:rPr>
              <w:t xml:space="preserve">х</w:t>
            </w:r>
          </w:p>
        </w:tc>
      </w:tr>
      <w:tr>
        <w:tblPrEx>
          <w:tblBorders>
            <w:insideH w:val="nil"/>
          </w:tblBorders>
        </w:tblPrEx>
        <w:tc>
          <w:tcPr>
            <w:tcW w:w="4203" w:type="dxa"/>
            <w:tcBorders>
              <w:top w:val="nil"/>
              <w:left w:val="nil"/>
            </w:tcBorders>
          </w:tcPr>
          <w:p>
            <w:pPr>
              <w:pStyle w:val="0"/>
              <w:jc w:val="both"/>
            </w:pPr>
            <w:r>
              <w:rPr>
                <w:sz w:val="24"/>
              </w:rPr>
              <w:t xml:space="preserve">затраты на формирование рабочего, продуктивного и племенного стада</w:t>
            </w:r>
          </w:p>
        </w:tc>
        <w:tc>
          <w:tcPr>
            <w:gridSpan w:val="3"/>
            <w:tcW w:w="2381" w:type="dxa"/>
            <w:tcBorders>
              <w:top w:val="nil"/>
            </w:tcBorders>
          </w:tcPr>
          <w:p>
            <w:pPr>
              <w:pStyle w:val="0"/>
            </w:pPr>
            <w:r>
              <w:rPr>
                <w:sz w:val="24"/>
              </w:rPr>
            </w:r>
          </w:p>
        </w:tc>
        <w:tc>
          <w:tcPr>
            <w:gridSpan w:val="2"/>
            <w:tcW w:w="2443" w:type="dxa"/>
            <w:tcBorders>
              <w:top w:val="nil"/>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затраты по насаждению и выращиванию многолетних культур</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Из строки 01 - по видам деятельности</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Инвестиции в непроизведенные нефинансовые активы</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blPrEx>
          <w:tblBorders>
            <w:insideH w:val="nil"/>
          </w:tblBorders>
        </w:tblPrEx>
        <w:tc>
          <w:tcPr>
            <w:tcW w:w="4203" w:type="dxa"/>
            <w:tcBorders>
              <w:left w:val="nil"/>
              <w:bottom w:val="nil"/>
            </w:tcBorders>
          </w:tcPr>
          <w:p>
            <w:pPr>
              <w:pStyle w:val="0"/>
              <w:jc w:val="both"/>
            </w:pPr>
            <w:r>
              <w:rPr>
                <w:sz w:val="24"/>
              </w:rPr>
              <w:t xml:space="preserve">в том числе затраты на приобретение:</w:t>
            </w:r>
          </w:p>
        </w:tc>
        <w:tc>
          <w:tcPr>
            <w:gridSpan w:val="3"/>
            <w:tcW w:w="2381" w:type="dxa"/>
            <w:tcBorders>
              <w:bottom w:val="nil"/>
            </w:tcBorders>
          </w:tcPr>
          <w:p>
            <w:pPr>
              <w:pStyle w:val="0"/>
            </w:pPr>
            <w:r>
              <w:rPr>
                <w:sz w:val="24"/>
              </w:rPr>
            </w:r>
          </w:p>
        </w:tc>
        <w:tc>
          <w:tcPr>
            <w:gridSpan w:val="2"/>
            <w:tcW w:w="2443" w:type="dxa"/>
            <w:tcBorders>
              <w:bottom w:val="nil"/>
              <w:right w:val="nil"/>
            </w:tcBorders>
          </w:tcPr>
          <w:p>
            <w:pPr>
              <w:pStyle w:val="0"/>
              <w:jc w:val="center"/>
            </w:pPr>
            <w:r>
              <w:rPr>
                <w:sz w:val="24"/>
              </w:rPr>
              <w:t xml:space="preserve">х</w:t>
            </w:r>
          </w:p>
        </w:tc>
      </w:tr>
      <w:tr>
        <w:tblPrEx>
          <w:tblBorders>
            <w:insideH w:val="nil"/>
          </w:tblBorders>
        </w:tblPrEx>
        <w:tc>
          <w:tcPr>
            <w:tcW w:w="4203" w:type="dxa"/>
            <w:tcBorders>
              <w:top w:val="nil"/>
              <w:left w:val="nil"/>
            </w:tcBorders>
          </w:tcPr>
          <w:p>
            <w:pPr>
              <w:pStyle w:val="0"/>
              <w:jc w:val="both"/>
            </w:pPr>
            <w:r>
              <w:rPr>
                <w:sz w:val="24"/>
              </w:rPr>
              <w:t xml:space="preserve">земли и объектов природопользования</w:t>
            </w:r>
          </w:p>
        </w:tc>
        <w:tc>
          <w:tcPr>
            <w:gridSpan w:val="3"/>
            <w:tcW w:w="2381" w:type="dxa"/>
            <w:tcBorders>
              <w:top w:val="nil"/>
            </w:tcBorders>
          </w:tcPr>
          <w:p>
            <w:pPr>
              <w:pStyle w:val="0"/>
            </w:pPr>
            <w:r>
              <w:rPr>
                <w:sz w:val="24"/>
              </w:rPr>
            </w:r>
          </w:p>
        </w:tc>
        <w:tc>
          <w:tcPr>
            <w:gridSpan w:val="2"/>
            <w:tcW w:w="2443" w:type="dxa"/>
            <w:tcBorders>
              <w:top w:val="nil"/>
              <w:right w:val="nil"/>
            </w:tcBorders>
          </w:tcPr>
          <w:p>
            <w:pPr>
              <w:pStyle w:val="0"/>
              <w:jc w:val="center"/>
            </w:pPr>
            <w:r>
              <w:rPr>
                <w:sz w:val="24"/>
              </w:rPr>
              <w:t xml:space="preserve">х</w:t>
            </w:r>
          </w:p>
        </w:tc>
      </w:tr>
      <w:tr>
        <w:tc>
          <w:tcPr>
            <w:tcW w:w="4203" w:type="dxa"/>
            <w:tcBorders>
              <w:left w:val="nil"/>
            </w:tcBorders>
          </w:tcPr>
          <w:p>
            <w:pPr>
              <w:pStyle w:val="0"/>
              <w:jc w:val="both"/>
            </w:pPr>
            <w:r>
              <w:rPr>
                <w:sz w:val="24"/>
              </w:rPr>
              <w:t xml:space="preserve">контрактов, договоров аренды, лицензий, деловых связей (маркетинговых активов)</w:t>
            </w:r>
          </w:p>
        </w:tc>
        <w:tc>
          <w:tcPr>
            <w:gridSpan w:val="3"/>
            <w:tcW w:w="2381" w:type="dxa"/>
          </w:tcPr>
          <w:p>
            <w:pPr>
              <w:pStyle w:val="0"/>
            </w:pPr>
            <w:r>
              <w:rPr>
                <w:sz w:val="24"/>
              </w:rPr>
            </w:r>
          </w:p>
        </w:tc>
        <w:tc>
          <w:tcPr>
            <w:gridSpan w:val="2"/>
            <w:tcW w:w="2443" w:type="dxa"/>
            <w:tcBorders>
              <w:right w:val="nil"/>
            </w:tcBorders>
          </w:tcPr>
          <w:p>
            <w:pPr>
              <w:pStyle w:val="0"/>
              <w:jc w:val="center"/>
            </w:pPr>
            <w:r>
              <w:rPr>
                <w:sz w:val="24"/>
              </w:rPr>
              <w:t xml:space="preserve">х</w:t>
            </w:r>
          </w:p>
        </w:tc>
      </w:tr>
      <w:tr>
        <w:tc>
          <w:tcPr>
            <w:gridSpan w:val="6"/>
            <w:tcW w:w="9027" w:type="dxa"/>
            <w:tcBorders>
              <w:left w:val="nil"/>
              <w:right w:val="nil"/>
            </w:tcBorders>
          </w:tcPr>
          <w:p>
            <w:pPr>
              <w:pStyle w:val="0"/>
            </w:pPr>
            <w:r>
              <w:rPr>
                <w:sz w:val="24"/>
              </w:rPr>
            </w:r>
          </w:p>
        </w:tc>
      </w:tr>
      <w:tr>
        <w:tc>
          <w:tcPr>
            <w:tcW w:w="4203" w:type="dxa"/>
            <w:tcBorders>
              <w:left w:val="nil"/>
            </w:tcBorders>
          </w:tcPr>
          <w:p>
            <w:pPr>
              <w:pStyle w:val="0"/>
              <w:jc w:val="both"/>
            </w:pPr>
            <w:r>
              <w:rPr>
                <w:sz w:val="24"/>
              </w:rPr>
              <w:t xml:space="preserve">Кроме того, затраты на приобретение основных фондов, бывших в употреблении у других юридических и физических лиц, и объектов незавершенного строительства</w:t>
            </w:r>
          </w:p>
        </w:tc>
        <w:tc>
          <w:tcPr>
            <w:gridSpan w:val="5"/>
            <w:tcW w:w="4824" w:type="dxa"/>
            <w:tcBorders>
              <w:right w:val="nil"/>
            </w:tcBorders>
          </w:tcPr>
          <w:p>
            <w:pPr>
              <w:pStyle w:val="0"/>
            </w:pPr>
            <w:r>
              <w:rPr>
                <w:sz w:val="24"/>
              </w:rPr>
            </w:r>
          </w:p>
        </w:tc>
      </w:tr>
      <w:tr>
        <w:tc>
          <w:tcPr>
            <w:tcW w:w="4203" w:type="dxa"/>
            <w:tcBorders>
              <w:left w:val="nil"/>
            </w:tcBorders>
          </w:tcPr>
          <w:p>
            <w:pPr>
              <w:pStyle w:val="0"/>
            </w:pPr>
            <w:r>
              <w:rPr>
                <w:sz w:val="24"/>
              </w:rPr>
            </w:r>
          </w:p>
        </w:tc>
        <w:tc>
          <w:tcPr>
            <w:tcW w:w="786" w:type="dxa"/>
          </w:tcPr>
          <w:p>
            <w:pPr>
              <w:pStyle w:val="0"/>
              <w:jc w:val="center"/>
            </w:pPr>
            <w:r>
              <w:rPr>
                <w:sz w:val="24"/>
              </w:rPr>
              <w:t xml:space="preserve">(22)</w:t>
            </w:r>
          </w:p>
        </w:tc>
        <w:tc>
          <w:tcPr>
            <w:tcW w:w="399" w:type="dxa"/>
          </w:tcPr>
          <w:p>
            <w:pPr>
              <w:pStyle w:val="0"/>
            </w:pPr>
            <w:r>
              <w:rPr>
                <w:sz w:val="24"/>
              </w:rPr>
            </w:r>
          </w:p>
        </w:tc>
        <w:tc>
          <w:tcPr>
            <w:gridSpan w:val="2"/>
            <w:tcW w:w="3230" w:type="dxa"/>
          </w:tcPr>
          <w:p>
            <w:pPr>
              <w:pStyle w:val="0"/>
              <w:jc w:val="center"/>
            </w:pPr>
            <w:r>
              <w:rPr>
                <w:sz w:val="24"/>
              </w:rPr>
              <w:t xml:space="preserve">тыс. рублей</w:t>
            </w:r>
          </w:p>
        </w:tc>
        <w:tc>
          <w:tcPr>
            <w:tcW w:w="409" w:type="dxa"/>
            <w:tcBorders>
              <w:right w:val="nil"/>
            </w:tcBorders>
          </w:tcPr>
          <w:p>
            <w:pPr>
              <w:pStyle w:val="0"/>
            </w:pPr>
            <w:r>
              <w:rPr>
                <w:sz w:val="24"/>
              </w:rPr>
            </w:r>
          </w:p>
        </w:tc>
      </w:tr>
      <w:tr>
        <w:tc>
          <w:tcPr>
            <w:tcW w:w="4203" w:type="dxa"/>
            <w:tcBorders>
              <w:left w:val="nil"/>
            </w:tcBorders>
          </w:tcPr>
          <w:p>
            <w:pPr>
              <w:pStyle w:val="0"/>
              <w:jc w:val="both"/>
            </w:pPr>
            <w:r>
              <w:rPr>
                <w:sz w:val="24"/>
              </w:rPr>
              <w:t xml:space="preserve">в том числе машин, оборудования, транспортных средств</w:t>
            </w:r>
          </w:p>
        </w:tc>
        <w:tc>
          <w:tcPr>
            <w:tcW w:w="786" w:type="dxa"/>
          </w:tcPr>
          <w:p>
            <w:pPr>
              <w:pStyle w:val="0"/>
              <w:jc w:val="center"/>
            </w:pPr>
            <w:r>
              <w:rPr>
                <w:sz w:val="24"/>
              </w:rPr>
              <w:t xml:space="preserve">(23)</w:t>
            </w:r>
          </w:p>
        </w:tc>
        <w:tc>
          <w:tcPr>
            <w:tcW w:w="399" w:type="dxa"/>
          </w:tcPr>
          <w:p>
            <w:pPr>
              <w:pStyle w:val="0"/>
            </w:pPr>
            <w:r>
              <w:rPr>
                <w:sz w:val="24"/>
              </w:rPr>
            </w:r>
          </w:p>
        </w:tc>
        <w:tc>
          <w:tcPr>
            <w:gridSpan w:val="2"/>
            <w:tcW w:w="3230" w:type="dxa"/>
          </w:tcPr>
          <w:p>
            <w:pPr>
              <w:pStyle w:val="0"/>
              <w:jc w:val="center"/>
            </w:pPr>
            <w:r>
              <w:rPr>
                <w:sz w:val="24"/>
              </w:rPr>
              <w:t xml:space="preserve">тыс. рублей</w:t>
            </w:r>
          </w:p>
        </w:tc>
        <w:tc>
          <w:tcPr>
            <w:tcW w:w="409" w:type="dxa"/>
            <w:tcBorders>
              <w:right w:val="nil"/>
            </w:tcBorders>
          </w:tcPr>
          <w:p>
            <w:pPr>
              <w:pStyle w:val="0"/>
            </w:pPr>
            <w:r>
              <w:rPr>
                <w:sz w:val="24"/>
              </w:rPr>
            </w:r>
          </w:p>
        </w:tc>
      </w:tr>
      <w:tr>
        <w:tc>
          <w:tcPr>
            <w:gridSpan w:val="6"/>
            <w:tcW w:w="9027" w:type="dxa"/>
            <w:tcBorders>
              <w:left w:val="nil"/>
              <w:right w:val="nil"/>
            </w:tcBorders>
          </w:tcPr>
          <w:p>
            <w:pPr>
              <w:pStyle w:val="0"/>
              <w:jc w:val="center"/>
            </w:pPr>
            <w:r>
              <w:rPr>
                <w:sz w:val="24"/>
              </w:rPr>
              <w:t xml:space="preserve">Раздел 2. Источники инвестиций, тыс. рублей</w:t>
            </w:r>
          </w:p>
        </w:tc>
      </w:tr>
      <w:tr>
        <w:tc>
          <w:tcPr>
            <w:gridSpan w:val="6"/>
            <w:tcW w:w="9027" w:type="dxa"/>
            <w:tcBorders>
              <w:left w:val="nil"/>
              <w:right w:val="nil"/>
            </w:tcBorders>
          </w:tcPr>
          <w:p>
            <w:pPr>
              <w:pStyle w:val="0"/>
            </w:pPr>
            <w:r>
              <w:rPr>
                <w:sz w:val="24"/>
              </w:rPr>
            </w:r>
          </w:p>
        </w:tc>
      </w:tr>
      <w:tr>
        <w:tc>
          <w:tcPr>
            <w:tcW w:w="4203" w:type="dxa"/>
            <w:tcBorders>
              <w:left w:val="nil"/>
            </w:tcBorders>
          </w:tcPr>
          <w:p>
            <w:pPr>
              <w:pStyle w:val="0"/>
              <w:jc w:val="center"/>
            </w:pPr>
            <w:r>
              <w:rPr>
                <w:sz w:val="24"/>
              </w:rPr>
              <w:t xml:space="preserve">Наименование показателя</w:t>
            </w:r>
          </w:p>
        </w:tc>
        <w:tc>
          <w:tcPr>
            <w:gridSpan w:val="5"/>
            <w:tcW w:w="4824" w:type="dxa"/>
            <w:tcBorders>
              <w:right w:val="nil"/>
            </w:tcBorders>
          </w:tcPr>
          <w:p>
            <w:pPr>
              <w:pStyle w:val="0"/>
              <w:jc w:val="center"/>
            </w:pPr>
            <w:r>
              <w:rPr>
                <w:sz w:val="24"/>
              </w:rPr>
              <w:t xml:space="preserve">Инвестиции в основной капитал, за период с начала отчетного года</w:t>
            </w:r>
          </w:p>
        </w:tc>
      </w:tr>
      <w:tr>
        <w:tc>
          <w:tcPr>
            <w:tcW w:w="4203" w:type="dxa"/>
            <w:tcBorders>
              <w:left w:val="nil"/>
            </w:tcBorders>
          </w:tcPr>
          <w:p>
            <w:pPr>
              <w:pStyle w:val="0"/>
              <w:jc w:val="center"/>
            </w:pPr>
            <w:r>
              <w:rPr>
                <w:sz w:val="24"/>
              </w:rPr>
              <w:t xml:space="preserve">А</w:t>
            </w:r>
          </w:p>
        </w:tc>
        <w:tc>
          <w:tcPr>
            <w:gridSpan w:val="5"/>
            <w:tcW w:w="4824" w:type="dxa"/>
            <w:tcBorders>
              <w:right w:val="nil"/>
            </w:tcBorders>
          </w:tcPr>
          <w:p>
            <w:pPr>
              <w:pStyle w:val="0"/>
              <w:jc w:val="center"/>
            </w:pPr>
            <w:r>
              <w:rPr>
                <w:sz w:val="24"/>
              </w:rPr>
              <w:t xml:space="preserve">1</w:t>
            </w:r>
          </w:p>
        </w:tc>
      </w:tr>
      <w:tr>
        <w:tc>
          <w:tcPr>
            <w:tcW w:w="4203" w:type="dxa"/>
            <w:tcBorders>
              <w:left w:val="nil"/>
            </w:tcBorders>
          </w:tcPr>
          <w:p>
            <w:pPr>
              <w:pStyle w:val="0"/>
              <w:jc w:val="both"/>
            </w:pPr>
            <w:r>
              <w:rPr>
                <w:sz w:val="24"/>
              </w:rPr>
              <w:t xml:space="preserve">Собственные средства</w:t>
            </w:r>
          </w:p>
        </w:tc>
        <w:tc>
          <w:tcPr>
            <w:gridSpan w:val="5"/>
            <w:tcW w:w="4824" w:type="dxa"/>
            <w:tcBorders>
              <w:right w:val="nil"/>
            </w:tcBorders>
          </w:tcPr>
          <w:p>
            <w:pPr>
              <w:pStyle w:val="0"/>
            </w:pPr>
            <w:r>
              <w:rPr>
                <w:sz w:val="24"/>
              </w:rPr>
            </w:r>
          </w:p>
        </w:tc>
      </w:tr>
      <w:tr>
        <w:tc>
          <w:tcPr>
            <w:tcW w:w="4203" w:type="dxa"/>
            <w:tcBorders>
              <w:left w:val="nil"/>
            </w:tcBorders>
          </w:tcPr>
          <w:p>
            <w:pPr>
              <w:pStyle w:val="0"/>
              <w:jc w:val="both"/>
            </w:pPr>
            <w:r>
              <w:rPr>
                <w:sz w:val="24"/>
              </w:rPr>
              <w:t xml:space="preserve">Привлеченные средства</w:t>
            </w:r>
          </w:p>
        </w:tc>
        <w:tc>
          <w:tcPr>
            <w:gridSpan w:val="5"/>
            <w:tcW w:w="4824" w:type="dxa"/>
            <w:tcBorders>
              <w:right w:val="nil"/>
            </w:tcBorders>
          </w:tcPr>
          <w:p>
            <w:pPr>
              <w:pStyle w:val="0"/>
            </w:pPr>
            <w:r>
              <w:rPr>
                <w:sz w:val="24"/>
              </w:rPr>
            </w:r>
          </w:p>
        </w:tc>
      </w:tr>
      <w:tr>
        <w:tblPrEx>
          <w:tblBorders>
            <w:insideH w:val="nil"/>
          </w:tblBorders>
        </w:tblPrEx>
        <w:tc>
          <w:tcPr>
            <w:tcW w:w="4203" w:type="dxa"/>
            <w:tcBorders>
              <w:left w:val="nil"/>
              <w:bottom w:val="nil"/>
            </w:tcBorders>
          </w:tcPr>
          <w:p>
            <w:pPr>
              <w:pStyle w:val="0"/>
              <w:jc w:val="both"/>
            </w:pPr>
            <w:r>
              <w:rPr>
                <w:sz w:val="24"/>
              </w:rPr>
              <w:t xml:space="preserve">в том числе:</w:t>
            </w:r>
          </w:p>
        </w:tc>
        <w:tc>
          <w:tcPr>
            <w:gridSpan w:val="5"/>
            <w:tcW w:w="4824" w:type="dxa"/>
            <w:tcBorders>
              <w:bottom w:val="nil"/>
              <w:right w:val="nil"/>
            </w:tcBorders>
          </w:tcPr>
          <w:p>
            <w:pPr>
              <w:pStyle w:val="0"/>
            </w:pPr>
            <w:r>
              <w:rPr>
                <w:sz w:val="24"/>
              </w:rPr>
            </w:r>
          </w:p>
        </w:tc>
      </w:tr>
      <w:tr>
        <w:tblPrEx>
          <w:tblBorders>
            <w:insideH w:val="nil"/>
          </w:tblBorders>
        </w:tblPrEx>
        <w:tc>
          <w:tcPr>
            <w:tcW w:w="4203" w:type="dxa"/>
            <w:tcBorders>
              <w:top w:val="nil"/>
              <w:left w:val="nil"/>
            </w:tcBorders>
          </w:tcPr>
          <w:p>
            <w:pPr>
              <w:pStyle w:val="0"/>
              <w:jc w:val="both"/>
            </w:pPr>
            <w:r>
              <w:rPr>
                <w:sz w:val="24"/>
              </w:rPr>
              <w:t xml:space="preserve">кредиты банков</w:t>
            </w:r>
          </w:p>
        </w:tc>
        <w:tc>
          <w:tcPr>
            <w:gridSpan w:val="5"/>
            <w:tcW w:w="4824" w:type="dxa"/>
            <w:tcBorders>
              <w:top w:val="nil"/>
              <w:right w:val="nil"/>
            </w:tcBorders>
          </w:tcPr>
          <w:p>
            <w:pPr>
              <w:pStyle w:val="0"/>
            </w:pPr>
            <w:r>
              <w:rPr>
                <w:sz w:val="24"/>
              </w:rPr>
            </w:r>
          </w:p>
        </w:tc>
      </w:tr>
      <w:tr>
        <w:tc>
          <w:tcPr>
            <w:tcW w:w="4203" w:type="dxa"/>
            <w:tcBorders>
              <w:left w:val="nil"/>
            </w:tcBorders>
          </w:tcPr>
          <w:p>
            <w:pPr>
              <w:pStyle w:val="0"/>
              <w:jc w:val="both"/>
            </w:pPr>
            <w:r>
              <w:rPr>
                <w:sz w:val="24"/>
              </w:rPr>
              <w:t xml:space="preserve">из них кредиты иностранных банков</w:t>
            </w:r>
          </w:p>
        </w:tc>
        <w:tc>
          <w:tcPr>
            <w:gridSpan w:val="5"/>
            <w:tcW w:w="4824" w:type="dxa"/>
            <w:tcBorders>
              <w:right w:val="nil"/>
            </w:tcBorders>
          </w:tcPr>
          <w:p>
            <w:pPr>
              <w:pStyle w:val="0"/>
            </w:pPr>
            <w:r>
              <w:rPr>
                <w:sz w:val="24"/>
              </w:rPr>
            </w:r>
          </w:p>
        </w:tc>
      </w:tr>
      <w:tr>
        <w:tc>
          <w:tcPr>
            <w:tcW w:w="4203" w:type="dxa"/>
            <w:tcBorders>
              <w:left w:val="nil"/>
            </w:tcBorders>
          </w:tcPr>
          <w:p>
            <w:pPr>
              <w:pStyle w:val="0"/>
              <w:jc w:val="both"/>
            </w:pPr>
            <w:r>
              <w:rPr>
                <w:sz w:val="24"/>
              </w:rPr>
              <w:t xml:space="preserve">заемные средства других организаций</w:t>
            </w:r>
          </w:p>
        </w:tc>
        <w:tc>
          <w:tcPr>
            <w:gridSpan w:val="5"/>
            <w:tcW w:w="4824" w:type="dxa"/>
            <w:tcBorders>
              <w:right w:val="nil"/>
            </w:tcBorders>
          </w:tcPr>
          <w:p>
            <w:pPr>
              <w:pStyle w:val="0"/>
            </w:pPr>
            <w:r>
              <w:rPr>
                <w:sz w:val="24"/>
              </w:rPr>
            </w:r>
          </w:p>
        </w:tc>
      </w:tr>
      <w:tr>
        <w:tc>
          <w:tcPr>
            <w:tcW w:w="4203" w:type="dxa"/>
            <w:tcBorders>
              <w:left w:val="nil"/>
            </w:tcBorders>
          </w:tcPr>
          <w:p>
            <w:pPr>
              <w:pStyle w:val="0"/>
              <w:jc w:val="both"/>
            </w:pPr>
            <w:r>
              <w:rPr>
                <w:sz w:val="24"/>
              </w:rPr>
              <w:t xml:space="preserve">инвестиции из-за рубежа</w:t>
            </w:r>
          </w:p>
        </w:tc>
        <w:tc>
          <w:tcPr>
            <w:gridSpan w:val="5"/>
            <w:tcW w:w="4824" w:type="dxa"/>
            <w:tcBorders>
              <w:right w:val="nil"/>
            </w:tcBorders>
          </w:tcPr>
          <w:p>
            <w:pPr>
              <w:pStyle w:val="0"/>
            </w:pPr>
            <w:r>
              <w:rPr>
                <w:sz w:val="24"/>
              </w:rPr>
            </w:r>
          </w:p>
        </w:tc>
      </w:tr>
      <w:tr>
        <w:tc>
          <w:tcPr>
            <w:tcW w:w="4203" w:type="dxa"/>
            <w:tcBorders>
              <w:left w:val="nil"/>
            </w:tcBorders>
          </w:tcPr>
          <w:p>
            <w:pPr>
              <w:pStyle w:val="0"/>
              <w:jc w:val="both"/>
            </w:pPr>
            <w:r>
              <w:rPr>
                <w:sz w:val="24"/>
              </w:rPr>
              <w:t xml:space="preserve">бюджетные средства</w:t>
            </w:r>
          </w:p>
        </w:tc>
        <w:tc>
          <w:tcPr>
            <w:gridSpan w:val="5"/>
            <w:tcW w:w="4824" w:type="dxa"/>
            <w:tcBorders>
              <w:right w:val="nil"/>
            </w:tcBorders>
          </w:tcPr>
          <w:p>
            <w:pPr>
              <w:pStyle w:val="0"/>
            </w:pPr>
            <w:r>
              <w:rPr>
                <w:sz w:val="24"/>
              </w:rPr>
            </w:r>
          </w:p>
        </w:tc>
      </w:tr>
      <w:tr>
        <w:tblPrEx>
          <w:tblBorders>
            <w:insideH w:val="nil"/>
          </w:tblBorders>
        </w:tblPrEx>
        <w:tc>
          <w:tcPr>
            <w:tcW w:w="4203" w:type="dxa"/>
            <w:tcBorders>
              <w:left w:val="nil"/>
              <w:bottom w:val="nil"/>
            </w:tcBorders>
          </w:tcPr>
          <w:p>
            <w:pPr>
              <w:pStyle w:val="0"/>
              <w:jc w:val="both"/>
            </w:pPr>
            <w:r>
              <w:rPr>
                <w:sz w:val="24"/>
              </w:rPr>
              <w:t xml:space="preserve">в том числе:</w:t>
            </w:r>
          </w:p>
        </w:tc>
        <w:tc>
          <w:tcPr>
            <w:gridSpan w:val="5"/>
            <w:tcW w:w="4824" w:type="dxa"/>
            <w:tcBorders>
              <w:bottom w:val="nil"/>
              <w:right w:val="nil"/>
            </w:tcBorders>
          </w:tcPr>
          <w:p>
            <w:pPr>
              <w:pStyle w:val="0"/>
            </w:pPr>
            <w:r>
              <w:rPr>
                <w:sz w:val="24"/>
              </w:rPr>
            </w:r>
          </w:p>
        </w:tc>
      </w:tr>
      <w:tr>
        <w:tblPrEx>
          <w:tblBorders>
            <w:insideH w:val="nil"/>
          </w:tblBorders>
        </w:tblPrEx>
        <w:tc>
          <w:tcPr>
            <w:tcW w:w="4203" w:type="dxa"/>
            <w:tcBorders>
              <w:top w:val="nil"/>
              <w:left w:val="nil"/>
            </w:tcBorders>
          </w:tcPr>
          <w:p>
            <w:pPr>
              <w:pStyle w:val="0"/>
              <w:jc w:val="both"/>
            </w:pPr>
            <w:r>
              <w:rPr>
                <w:sz w:val="24"/>
              </w:rPr>
              <w:t xml:space="preserve">из федерального бюджета</w:t>
            </w:r>
          </w:p>
        </w:tc>
        <w:tc>
          <w:tcPr>
            <w:gridSpan w:val="5"/>
            <w:tcW w:w="4824" w:type="dxa"/>
            <w:tcBorders>
              <w:top w:val="nil"/>
              <w:right w:val="nil"/>
            </w:tcBorders>
          </w:tcPr>
          <w:p>
            <w:pPr>
              <w:pStyle w:val="0"/>
            </w:pPr>
            <w:r>
              <w:rPr>
                <w:sz w:val="24"/>
              </w:rPr>
            </w:r>
          </w:p>
        </w:tc>
      </w:tr>
      <w:tr>
        <w:tc>
          <w:tcPr>
            <w:tcW w:w="4203" w:type="dxa"/>
            <w:tcBorders>
              <w:left w:val="nil"/>
            </w:tcBorders>
          </w:tcPr>
          <w:p>
            <w:pPr>
              <w:pStyle w:val="0"/>
              <w:jc w:val="both"/>
            </w:pPr>
            <w:r>
              <w:rPr>
                <w:sz w:val="24"/>
              </w:rPr>
              <w:t xml:space="preserve">из бюджетов субъектов Российской Федерации</w:t>
            </w:r>
          </w:p>
        </w:tc>
        <w:tc>
          <w:tcPr>
            <w:gridSpan w:val="5"/>
            <w:tcW w:w="4824" w:type="dxa"/>
            <w:tcBorders>
              <w:right w:val="nil"/>
            </w:tcBorders>
          </w:tcPr>
          <w:p>
            <w:pPr>
              <w:pStyle w:val="0"/>
            </w:pPr>
            <w:r>
              <w:rPr>
                <w:sz w:val="24"/>
              </w:rPr>
            </w:r>
          </w:p>
        </w:tc>
      </w:tr>
      <w:tr>
        <w:tc>
          <w:tcPr>
            <w:tcW w:w="4203" w:type="dxa"/>
            <w:tcBorders>
              <w:left w:val="nil"/>
            </w:tcBorders>
          </w:tcPr>
          <w:p>
            <w:pPr>
              <w:pStyle w:val="0"/>
              <w:jc w:val="both"/>
            </w:pPr>
            <w:r>
              <w:rPr>
                <w:sz w:val="24"/>
              </w:rPr>
              <w:t xml:space="preserve">из местных бюджетов</w:t>
            </w:r>
          </w:p>
        </w:tc>
        <w:tc>
          <w:tcPr>
            <w:gridSpan w:val="5"/>
            <w:tcW w:w="4824" w:type="dxa"/>
            <w:tcBorders>
              <w:right w:val="nil"/>
            </w:tcBorders>
          </w:tcPr>
          <w:p>
            <w:pPr>
              <w:pStyle w:val="0"/>
            </w:pPr>
            <w:r>
              <w:rPr>
                <w:sz w:val="24"/>
              </w:rPr>
            </w:r>
          </w:p>
        </w:tc>
      </w:tr>
      <w:tr>
        <w:tc>
          <w:tcPr>
            <w:tcW w:w="4203" w:type="dxa"/>
            <w:tcBorders>
              <w:left w:val="nil"/>
            </w:tcBorders>
          </w:tcPr>
          <w:p>
            <w:pPr>
              <w:pStyle w:val="0"/>
              <w:jc w:val="both"/>
            </w:pPr>
            <w:r>
              <w:rPr>
                <w:sz w:val="24"/>
              </w:rPr>
              <w:t xml:space="preserve">средства государственных внебюджетных фондов</w:t>
            </w:r>
          </w:p>
        </w:tc>
        <w:tc>
          <w:tcPr>
            <w:gridSpan w:val="5"/>
            <w:tcW w:w="4824" w:type="dxa"/>
            <w:tcBorders>
              <w:right w:val="nil"/>
            </w:tcBorders>
          </w:tcPr>
          <w:p>
            <w:pPr>
              <w:pStyle w:val="0"/>
            </w:pPr>
            <w:r>
              <w:rPr>
                <w:sz w:val="24"/>
              </w:rPr>
            </w:r>
          </w:p>
        </w:tc>
      </w:tr>
      <w:tr>
        <w:tc>
          <w:tcPr>
            <w:tcW w:w="4203" w:type="dxa"/>
            <w:tcBorders>
              <w:left w:val="nil"/>
            </w:tcBorders>
          </w:tcPr>
          <w:p>
            <w:pPr>
              <w:pStyle w:val="0"/>
            </w:pPr>
            <w:r>
              <w:rPr>
                <w:sz w:val="24"/>
              </w:rPr>
              <w:t xml:space="preserve">прочие</w:t>
            </w:r>
          </w:p>
        </w:tc>
        <w:tc>
          <w:tcPr>
            <w:gridSpan w:val="5"/>
            <w:tcW w:w="4824" w:type="dxa"/>
            <w:tcBorders>
              <w:right w:val="nil"/>
            </w:tcBorders>
          </w:tcPr>
          <w:p>
            <w:pPr>
              <w:pStyle w:val="0"/>
            </w:pPr>
            <w:r>
              <w:rPr>
                <w:sz w:val="24"/>
              </w:rPr>
            </w:r>
          </w:p>
        </w:tc>
      </w:tr>
    </w:tbl>
    <w:p>
      <w:pPr>
        <w:pStyle w:val="0"/>
        <w:jc w:val="both"/>
      </w:pPr>
      <w:r>
        <w:rPr>
          <w:sz w:val="24"/>
        </w:rPr>
      </w:r>
    </w:p>
    <w:p>
      <w:pPr>
        <w:pStyle w:val="1"/>
        <w:jc w:val="both"/>
      </w:pPr>
      <w:r>
        <w:rPr>
          <w:sz w:val="20"/>
        </w:rPr>
        <w:t xml:space="preserve">Справочно:</w:t>
      </w:r>
    </w:p>
    <w:p>
      <w:pPr>
        <w:pStyle w:val="1"/>
        <w:jc w:val="both"/>
      </w:pPr>
      <w:r>
        <w:rPr>
          <w:sz w:val="20"/>
        </w:rPr>
        <w:t xml:space="preserve">Осуществлялись   ли   инвестиции   в   основной  капитал,  направленные  на</w:t>
      </w:r>
    </w:p>
    <w:p>
      <w:pPr>
        <w:pStyle w:val="1"/>
        <w:jc w:val="both"/>
      </w:pPr>
      <w:r>
        <w:rPr>
          <w:sz w:val="20"/>
        </w:rPr>
        <w:t xml:space="preserve">природоохранные  мероприятия,  а также строительство и ввод природоохранных</w:t>
      </w:r>
    </w:p>
    <w:p>
      <w:pPr>
        <w:pStyle w:val="1"/>
        <w:jc w:val="both"/>
      </w:pPr>
      <w:r>
        <w:rPr>
          <w:sz w:val="20"/>
        </w:rPr>
        <w:t xml:space="preserve">объектов:</w:t>
      </w:r>
    </w:p>
    <w:p>
      <w:pPr>
        <w:pStyle w:val="1"/>
        <w:jc w:val="both"/>
      </w:pPr>
      <w:r>
        <w:rPr>
          <w:sz w:val="20"/>
        </w:rPr>
        <w:t xml:space="preserve">(при наличии отметьте знаком "1")</w:t>
      </w:r>
    </w:p>
    <w:p>
      <w:pPr>
        <w:pStyle w:val="1"/>
        <w:jc w:val="both"/>
      </w:pPr>
      <w:r>
        <w:rPr>
          <w:sz w:val="20"/>
        </w:rPr>
      </w:r>
    </w:p>
    <w:p>
      <w:pPr>
        <w:pStyle w:val="1"/>
        <w:jc w:val="both"/>
      </w:pPr>
      <w:r>
        <w:rPr>
          <w:sz w:val="20"/>
        </w:rPr>
        <w:t xml:space="preserve">Да   </w:t>
      </w:r>
      <w:r>
        <w:rPr>
          <w:position w:val="-9"/>
        </w:rPr>
        <w:drawing>
          <wp:inline distT="0" distB="0" distL="0" distR="0">
            <wp:extent cx="177165"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77165" cy="251460"/>
                    </a:xfrm>
                    <a:prstGeom prst="rect">
                      <a:avLst/>
                    </a:prstGeom>
                    <a:noFill/>
                    <a:ln>
                      <a:noFill/>
                    </a:ln>
                  </pic:spPr>
                </pic:pic>
              </a:graphicData>
            </a:graphic>
          </wp:inline>
        </w:drawing>
      </w:r>
    </w:p>
    <w:p>
      <w:pPr>
        <w:pStyle w:val="1"/>
        <w:jc w:val="both"/>
      </w:pPr>
      <w:r>
        <w:rPr>
          <w:sz w:val="20"/>
        </w:rPr>
      </w:r>
    </w:p>
    <w:p>
      <w:pPr>
        <w:pStyle w:val="1"/>
        <w:jc w:val="both"/>
      </w:pPr>
      <w:r>
        <w:rPr>
          <w:sz w:val="20"/>
        </w:rPr>
        <w:t xml:space="preserve">Должностное лицо,</w:t>
      </w:r>
    </w:p>
    <w:p>
      <w:pPr>
        <w:pStyle w:val="1"/>
        <w:jc w:val="both"/>
      </w:pPr>
      <w:r>
        <w:rPr>
          <w:sz w:val="20"/>
        </w:rPr>
        <w:t xml:space="preserve">ответственное за представление</w:t>
      </w:r>
    </w:p>
    <w:p>
      <w:pPr>
        <w:pStyle w:val="1"/>
        <w:jc w:val="both"/>
      </w:pPr>
      <w:r>
        <w:rPr>
          <w:sz w:val="20"/>
        </w:rPr>
        <w:t xml:space="preserve">первичных статистических данных</w:t>
      </w:r>
    </w:p>
    <w:p>
      <w:pPr>
        <w:pStyle w:val="1"/>
        <w:jc w:val="both"/>
      </w:pPr>
      <w:r>
        <w:rPr>
          <w:sz w:val="20"/>
        </w:rPr>
        <w:t xml:space="preserve">(лицо, уполномоченное</w:t>
      </w:r>
    </w:p>
    <w:p>
      <w:pPr>
        <w:pStyle w:val="1"/>
        <w:jc w:val="both"/>
      </w:pPr>
      <w:r>
        <w:rPr>
          <w:sz w:val="20"/>
        </w:rPr>
        <w:t xml:space="preserve">представлять первичные</w:t>
      </w:r>
    </w:p>
    <w:p>
      <w:pPr>
        <w:pStyle w:val="1"/>
        <w:jc w:val="both"/>
      </w:pPr>
      <w:r>
        <w:rPr>
          <w:sz w:val="20"/>
        </w:rPr>
        <w:t xml:space="preserve">статистические данные от имени</w:t>
      </w:r>
    </w:p>
    <w:p>
      <w:pPr>
        <w:pStyle w:val="1"/>
        <w:jc w:val="both"/>
      </w:pPr>
      <w:r>
        <w:rPr>
          <w:sz w:val="20"/>
        </w:rPr>
        <w:t xml:space="preserve">юридического лица</w:t>
      </w:r>
    </w:p>
    <w:p>
      <w:pPr>
        <w:pStyle w:val="1"/>
        <w:jc w:val="both"/>
      </w:pPr>
      <w:r>
        <w:rPr>
          <w:sz w:val="20"/>
        </w:rPr>
        <w:t xml:space="preserve">(индивидуального предпринимателя) ____________  ______________ ____________</w:t>
      </w:r>
    </w:p>
    <w:p>
      <w:pPr>
        <w:pStyle w:val="1"/>
        <w:jc w:val="both"/>
      </w:pPr>
      <w:r>
        <w:rPr>
          <w:sz w:val="20"/>
        </w:rPr>
        <w:t xml:space="preserve">                                   (должность)   (расшифровка   (подпись)</w:t>
      </w:r>
    </w:p>
    <w:p>
      <w:pPr>
        <w:pStyle w:val="1"/>
        <w:jc w:val="both"/>
      </w:pPr>
      <w:r>
        <w:rPr>
          <w:sz w:val="20"/>
        </w:rPr>
        <w:t xml:space="preserve">                                                   подписи)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99"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color w:val="392c69"/>
              </w:rPr>
              <w:t xml:space="preserve"> Кабинета Министров ЧР от 10.06.2026 N 379)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002" w:name="P1002"/>
          <w:bookmarkEnd w:id="1002"/>
          <w:p>
            <w:pPr>
              <w:pStyle w:val="0"/>
              <w:jc w:val="center"/>
            </w:pPr>
            <w:r>
              <w:rPr>
                <w:sz w:val="24"/>
                <w:b w:val="on"/>
              </w:rPr>
              <w:t xml:space="preserve">РЕЗЮМЕ</w:t>
            </w:r>
          </w:p>
          <w:p>
            <w:pPr>
              <w:pStyle w:val="0"/>
              <w:jc w:val="center"/>
            </w:pPr>
            <w:r>
              <w:rPr>
                <w:sz w:val="24"/>
                <w:b w:val="on"/>
              </w:rPr>
              <w:t xml:space="preserve">инвестиционного проекта</w:t>
            </w:r>
          </w:p>
        </w:tc>
      </w:tr>
    </w:tbl>
    <w:p>
      <w:pPr>
        <w:pStyle w:val="0"/>
        <w:jc w:val="both"/>
      </w:pPr>
      <w:r>
        <w:rPr>
          <w:sz w:val="24"/>
        </w:rPr>
      </w:r>
    </w:p>
    <w:p>
      <w:pPr>
        <w:pStyle w:val="0"/>
        <w:jc w:val="center"/>
      </w:pPr>
      <w:r>
        <w:rPr>
          <w:sz w:val="24"/>
        </w:rPr>
        <w:t xml:space="preserve">Раздел 1. Общая информация</w:t>
      </w:r>
    </w:p>
    <w:p>
      <w:pPr>
        <w:pStyle w:val="0"/>
        <w:jc w:val="both"/>
      </w:pPr>
      <w:r>
        <w:rPr>
          <w:sz w:val="24"/>
        </w:rPr>
      </w:r>
    </w:p>
    <w:tbl>
      <w:tblPr>
        <w:tblInd w:w="0" w:type="dxa"/>
        <w:tblLayout w:type="fixed"/>
        <w:tblCellMar>
          <w:top w:w="102" w:type="dxa"/>
          <w:left w:w="62" w:type="dxa"/>
          <w:bottom w:w="102" w:type="dxa"/>
          <w:right w:w="62" w:type="dxa"/>
        </w:tblCellMar>
      </w:tblPr>
      <w:tblGrid>
        <w:gridCol w:w="340"/>
        <w:gridCol w:w="340"/>
        <w:gridCol w:w="8391"/>
      </w:tblGrid>
      <w:tr>
        <w:tc>
          <w:tcPr>
            <w:gridSpan w:val="3"/>
            <w:tcW w:w="9071" w:type="dxa"/>
            <w:tcBorders>
              <w:top w:val="nil"/>
              <w:left w:val="nil"/>
              <w:bottom w:val="nil"/>
              <w:right w:val="nil"/>
            </w:tcBorders>
          </w:tcPr>
          <w:p>
            <w:pPr>
              <w:pStyle w:val="0"/>
              <w:ind w:firstLine="283"/>
              <w:jc w:val="both"/>
            </w:pPr>
            <w:r>
              <w:rPr>
                <w:sz w:val="24"/>
              </w:rPr>
              <w:t xml:space="preserve">1.1. Наименование, фамилия, имя, отчество (последнее - при наличии) субъекта в сфере промышленности (юридического лица, обособленного подразделения, индивидуального предпринимателя), реализующего инвестиционный проект:</w:t>
            </w:r>
          </w:p>
        </w:tc>
      </w:tr>
      <w:tr>
        <w:tc>
          <w:tcPr>
            <w:gridSpan w:val="3"/>
            <w:tcW w:w="9071" w:type="dxa"/>
            <w:tcBorders>
              <w:top w:val="nil"/>
              <w:left w:val="nil"/>
              <w:bottom w:val="single" w:sz="4"/>
              <w:right w:val="nil"/>
            </w:tcBorders>
          </w:tcPr>
          <w:p>
            <w:pPr>
              <w:pStyle w:val="0"/>
            </w:pPr>
            <w:r>
              <w:rPr>
                <w:sz w:val="24"/>
              </w:rPr>
            </w:r>
          </w:p>
        </w:tc>
      </w:tr>
      <w:tr>
        <w:tblPrEx>
          <w:tblBorders>
            <w:insideH w:val="single" w:sz="4"/>
          </w:tblBorders>
        </w:tblPrEx>
        <w:tc>
          <w:tcPr>
            <w:gridSpan w:val="3"/>
            <w:tcW w:w="9071" w:type="dxa"/>
            <w:tcBorders>
              <w:top w:val="single" w:sz="4"/>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ind w:firstLine="283"/>
              <w:jc w:val="both"/>
            </w:pPr>
            <w:r>
              <w:rPr>
                <w:sz w:val="24"/>
              </w:rPr>
              <w:t xml:space="preserve">1.2. Адрес юридического лица, адрес регистрации (для индивидуальных предпринимателей): ______________________________________________________</w:t>
            </w:r>
          </w:p>
        </w:tc>
      </w:tr>
      <w:tr>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ind w:firstLine="283"/>
              <w:jc w:val="both"/>
            </w:pPr>
            <w:r>
              <w:rPr>
                <w:sz w:val="24"/>
              </w:rPr>
              <w:t xml:space="preserve">1.3. Наименование инвестиционного проекта (далее - проект): _______________</w:t>
            </w:r>
          </w:p>
        </w:tc>
      </w:tr>
      <w:tr>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ind w:firstLine="283"/>
              <w:jc w:val="both"/>
            </w:pPr>
            <w:r>
              <w:rPr>
                <w:sz w:val="24"/>
              </w:rPr>
              <w:t xml:space="preserve">1.4. Отнесение проекта к перечням приоритетных инвестиционных проектов (нужное отметить):</w:t>
            </w:r>
          </w:p>
        </w:tc>
      </w:tr>
      <w:tr>
        <w:tblPrEx>
          <w:tblBorders>
            <w:left w:val="single" w:sz="4"/>
          </w:tblBorders>
        </w:tblPrEx>
        <w:tc>
          <w:tcPr>
            <w:tcW w:w="340" w:type="dxa"/>
            <w:tcBorders>
              <w:top w:val="single" w:sz="4"/>
              <w:left w:val="single" w:sz="4"/>
              <w:bottom w:val="single" w:sz="4"/>
              <w:right w:val="single" w:sz="4"/>
            </w:tcBorders>
          </w:tcPr>
          <w:p>
            <w:pPr>
              <w:pStyle w:val="0"/>
            </w:pPr>
            <w:r>
              <w:rPr>
                <w:sz w:val="24"/>
              </w:rPr>
            </w:r>
          </w:p>
        </w:tc>
        <w:tc>
          <w:tcPr>
            <w:tcW w:w="340" w:type="dxa"/>
            <w:tcBorders>
              <w:top w:val="nil"/>
              <w:left w:val="single" w:sz="4"/>
              <w:bottom w:val="nil"/>
              <w:right w:val="nil"/>
            </w:tcBorders>
          </w:tcPr>
          <w:p>
            <w:pPr>
              <w:pStyle w:val="0"/>
            </w:pPr>
            <w:r>
              <w:rPr>
                <w:sz w:val="24"/>
              </w:rPr>
            </w:r>
          </w:p>
        </w:tc>
        <w:tc>
          <w:tcPr>
            <w:tcW w:w="8391" w:type="dxa"/>
            <w:tcBorders>
              <w:top w:val="nil"/>
              <w:left w:val="nil"/>
              <w:bottom w:val="nil"/>
              <w:right w:val="nil"/>
            </w:tcBorders>
            <w:vMerge w:val="restart"/>
          </w:tcPr>
          <w:p>
            <w:pPr>
              <w:pStyle w:val="0"/>
              <w:jc w:val="both"/>
            </w:pPr>
            <w:r>
              <w:rPr>
                <w:sz w:val="24"/>
              </w:rPr>
              <w:t xml:space="preserve">проект включен в перечень инвестиционных проектов Комплексной программы социально-экономического развития Чувашской Республики на 2025 - 2030 годы;</w:t>
            </w:r>
          </w:p>
        </w:tc>
      </w:tr>
      <w:tr>
        <w:tc>
          <w:tcPr>
            <w:tcW w:w="340" w:type="dxa"/>
            <w:tcBorders>
              <w:top w:val="single" w:sz="4"/>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r>
      <w:tr>
        <w:tblPrEx>
          <w:tblBorders>
            <w:left w:val="single" w:sz="4"/>
          </w:tblBorders>
        </w:tblPrEx>
        <w:tc>
          <w:tcPr>
            <w:tcW w:w="340" w:type="dxa"/>
            <w:tcBorders>
              <w:top w:val="single" w:sz="4"/>
              <w:left w:val="single" w:sz="4"/>
              <w:bottom w:val="single" w:sz="4"/>
              <w:right w:val="single" w:sz="4"/>
            </w:tcBorders>
          </w:tcPr>
          <w:p>
            <w:pPr>
              <w:pStyle w:val="0"/>
            </w:pPr>
            <w:r>
              <w:rPr>
                <w:sz w:val="24"/>
              </w:rPr>
            </w:r>
          </w:p>
        </w:tc>
        <w:tc>
          <w:tcPr>
            <w:tcW w:w="340" w:type="dxa"/>
            <w:tcBorders>
              <w:top w:val="nil"/>
              <w:left w:val="single" w:sz="4"/>
              <w:bottom w:val="nil"/>
              <w:right w:val="nil"/>
            </w:tcBorders>
          </w:tcPr>
          <w:p>
            <w:pPr>
              <w:pStyle w:val="0"/>
            </w:pPr>
            <w:r>
              <w:rPr>
                <w:sz w:val="24"/>
              </w:rPr>
            </w:r>
          </w:p>
        </w:tc>
        <w:tc>
          <w:tcPr>
            <w:tcW w:w="8391" w:type="dxa"/>
            <w:tcBorders>
              <w:top w:val="nil"/>
              <w:left w:val="nil"/>
              <w:bottom w:val="nil"/>
              <w:right w:val="nil"/>
            </w:tcBorders>
            <w:vMerge w:val="restart"/>
          </w:tcPr>
          <w:p>
            <w:pPr>
              <w:pStyle w:val="0"/>
              <w:jc w:val="both"/>
            </w:pPr>
            <w:r>
              <w:rPr>
                <w:sz w:val="24"/>
              </w:rPr>
              <w:t xml:space="preserve">проект признан в соответствии с </w:t>
            </w:r>
            <w:hyperlink w:history="0" r:id="rId100" w:tooltip="Постановление Кабинета Министров ЧР от 13.01.2005 N 3 (ред. от 10.06.2026) &quot;О Совете по инвестиционной политике и общественном контроле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quot; (вместе с &quot;Положением...&quot;) {КонсультантПлюс}">
              <w:r>
                <w:rPr>
                  <w:sz w:val="24"/>
                  <w:color w:val="0000ff"/>
                </w:rPr>
                <w:t xml:space="preserve">постановлением</w:t>
              </w:r>
            </w:hyperlink>
            <w:r>
              <w:rPr>
                <w:sz w:val="24"/>
              </w:rPr>
              <w:t xml:space="preserve"> Кабинета Министров Чувашской Республики от 13 января 2005 г. N 3 "О Совете по инвестиционной политике и общественном контроле за реализацией крупных социально значимых инвестиционных проектов, получивших государственную поддержку инвестиционной деятельности в Чувашской Республике" инвестиционным проектом, имеющим важное экономическое и социальное значение для Чувашской Республики и (или) получающим нефинансовые меры государственной поддержки.</w:t>
            </w:r>
          </w:p>
        </w:tc>
      </w:tr>
      <w:tr>
        <w:tc>
          <w:tcPr>
            <w:tcW w:w="340"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r>
      <w:tr>
        <w:tc>
          <w:tcPr>
            <w:gridSpan w:val="3"/>
            <w:tcW w:w="9071" w:type="dxa"/>
            <w:tcBorders>
              <w:top w:val="nil"/>
              <w:left w:val="nil"/>
              <w:bottom w:val="nil"/>
              <w:right w:val="nil"/>
            </w:tcBorders>
          </w:tcPr>
          <w:p>
            <w:pPr>
              <w:pStyle w:val="0"/>
              <w:ind w:firstLine="283"/>
              <w:jc w:val="both"/>
            </w:pPr>
            <w:r>
              <w:rPr>
                <w:sz w:val="24"/>
              </w:rPr>
              <w:t xml:space="preserve">1.5. Место реализации проекта на территории Чувашской Республики: _________</w:t>
            </w:r>
          </w:p>
        </w:tc>
      </w:tr>
      <w:tr>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ind w:firstLine="283"/>
              <w:jc w:val="both"/>
            </w:pPr>
            <w:r>
              <w:rPr>
                <w:sz w:val="24"/>
              </w:rPr>
              <w:t xml:space="preserve">1.6. Сфера реализации проекта </w:t>
            </w:r>
            <w:hyperlink w:history="0" r:id="rId1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(ОКВЭД)</w:t>
              </w:r>
            </w:hyperlink>
            <w:r>
              <w:rPr>
                <w:sz w:val="24"/>
              </w:rPr>
              <w:t xml:space="preserve">: __________________________________</w:t>
            </w:r>
          </w:p>
        </w:tc>
      </w:tr>
      <w:tr>
        <w:tc>
          <w:tcPr>
            <w:gridSpan w:val="3"/>
            <w:tcW w:w="9071" w:type="dxa"/>
            <w:tcBorders>
              <w:top w:val="nil"/>
              <w:left w:val="nil"/>
              <w:bottom w:val="single" w:sz="4"/>
              <w:right w:val="nil"/>
            </w:tcBorders>
          </w:tcPr>
          <w:p>
            <w:pPr>
              <w:pStyle w:val="0"/>
            </w:pPr>
            <w:r>
              <w:rPr>
                <w:sz w:val="24"/>
              </w:rPr>
            </w:r>
          </w:p>
        </w:tc>
      </w:tr>
      <w:tr>
        <w:tc>
          <w:tcPr>
            <w:gridSpan w:val="3"/>
            <w:tcW w:w="9071" w:type="dxa"/>
            <w:tcBorders>
              <w:top w:val="single" w:sz="4"/>
              <w:left w:val="nil"/>
              <w:bottom w:val="nil"/>
              <w:right w:val="nil"/>
            </w:tcBorders>
          </w:tcPr>
          <w:p>
            <w:pPr>
              <w:pStyle w:val="0"/>
              <w:ind w:firstLine="283"/>
              <w:jc w:val="both"/>
            </w:pPr>
            <w:r>
              <w:rPr>
                <w:sz w:val="24"/>
              </w:rPr>
              <w:t xml:space="preserve">1.7. Фамилия, имя, отчество (последнее - при наличии), должность, контактный телефон ответственного лица по инвестиционному проекту: ____________________</w:t>
            </w:r>
          </w:p>
        </w:tc>
      </w:tr>
      <w:tr>
        <w:tc>
          <w:tcPr>
            <w:gridSpan w:val="3"/>
            <w:tcW w:w="9071" w:type="dxa"/>
            <w:tcBorders>
              <w:top w:val="nil"/>
              <w:left w:val="nil"/>
              <w:bottom w:val="single" w:sz="4"/>
              <w:right w:val="nil"/>
            </w:tcBorders>
          </w:tcPr>
          <w:p>
            <w:pPr>
              <w:pStyle w:val="0"/>
            </w:pPr>
            <w:r>
              <w:rPr>
                <w:sz w:val="24"/>
              </w:rPr>
            </w:r>
          </w:p>
        </w:tc>
      </w:tr>
      <w:tr>
        <w:tblPrEx>
          <w:tblBorders>
            <w:insideH w:val="single" w:sz="4"/>
          </w:tblBorders>
        </w:tblPrEx>
        <w:tc>
          <w:tcPr>
            <w:gridSpan w:val="3"/>
            <w:tcW w:w="9071" w:type="dxa"/>
            <w:tcBorders>
              <w:top w:val="single" w:sz="4"/>
              <w:left w:val="nil"/>
              <w:bottom w:val="nil"/>
              <w:right w:val="nil"/>
            </w:tcBorders>
          </w:tcPr>
          <w:p>
            <w:pPr>
              <w:pStyle w:val="0"/>
              <w:ind w:firstLine="283"/>
              <w:jc w:val="both"/>
            </w:pPr>
            <w:r>
              <w:rPr>
                <w:sz w:val="24"/>
              </w:rPr>
              <w:t xml:space="preserve">1.8. Краткое описание субъекта в сфере промышленности (с указанием года регистрации (начала деятельности), перечислением основных направлений деятельности, видов продукции, показателей, характеризующих текущее состояние и перспективы развития).</w:t>
            </w:r>
          </w:p>
          <w:p>
            <w:pPr>
              <w:pStyle w:val="0"/>
              <w:ind w:firstLine="283"/>
              <w:jc w:val="both"/>
            </w:pPr>
            <w:r>
              <w:rPr>
                <w:sz w:val="24"/>
              </w:rPr>
              <w:t xml:space="preserve">1.9. Краткое описание проекта (с указанием цели проекта, изменения технологий, мощности, ключевых рынков сбыта и потребителей).</w:t>
            </w:r>
          </w:p>
        </w:tc>
      </w:tr>
    </w:tbl>
    <w:p>
      <w:pPr>
        <w:pStyle w:val="0"/>
        <w:jc w:val="both"/>
      </w:pPr>
      <w:r>
        <w:rPr>
          <w:sz w:val="24"/>
        </w:rPr>
      </w:r>
    </w:p>
    <w:p>
      <w:pPr>
        <w:pStyle w:val="0"/>
        <w:jc w:val="center"/>
      </w:pPr>
      <w:r>
        <w:rPr>
          <w:sz w:val="24"/>
        </w:rPr>
        <w:t xml:space="preserve">Раздел 2. Основные показатели проекта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67"/>
        <w:gridCol w:w="6180"/>
        <w:gridCol w:w="2324"/>
      </w:tblGrid>
      <w:tr>
        <w:tc>
          <w:tcPr>
            <w:tcW w:w="567" w:type="dxa"/>
            <w:tcBorders>
              <w:left w:val="nil"/>
            </w:tcBorders>
          </w:tcPr>
          <w:p>
            <w:pPr>
              <w:pStyle w:val="0"/>
              <w:jc w:val="center"/>
            </w:pPr>
            <w:r>
              <w:rPr>
                <w:sz w:val="24"/>
              </w:rPr>
              <w:t xml:space="preserve">2.1.</w:t>
            </w:r>
          </w:p>
        </w:tc>
        <w:tc>
          <w:tcPr>
            <w:tcW w:w="6180" w:type="dxa"/>
          </w:tcPr>
          <w:p>
            <w:pPr>
              <w:pStyle w:val="0"/>
              <w:jc w:val="both"/>
            </w:pPr>
            <w:r>
              <w:rPr>
                <w:sz w:val="24"/>
              </w:rPr>
              <w:t xml:space="preserve">Общий объем инвестиций, млн. рублей</w:t>
            </w:r>
          </w:p>
        </w:tc>
        <w:tc>
          <w:tcPr>
            <w:tcW w:w="2324" w:type="dxa"/>
            <w:tcBorders>
              <w:right w:val="nil"/>
            </w:tcBorders>
          </w:tcPr>
          <w:p>
            <w:pPr>
              <w:pStyle w:val="0"/>
            </w:pPr>
            <w:r>
              <w:rPr>
                <w:sz w:val="24"/>
              </w:rPr>
            </w:r>
          </w:p>
        </w:tc>
      </w:tr>
      <w:tr>
        <w:tc>
          <w:tcPr>
            <w:tcW w:w="567" w:type="dxa"/>
            <w:tcBorders>
              <w:left w:val="nil"/>
            </w:tcBorders>
          </w:tcPr>
          <w:p>
            <w:pPr>
              <w:pStyle w:val="0"/>
            </w:pPr>
            <w:r>
              <w:rPr>
                <w:sz w:val="24"/>
              </w:rPr>
            </w:r>
          </w:p>
        </w:tc>
        <w:tc>
          <w:tcPr>
            <w:tcW w:w="6180" w:type="dxa"/>
          </w:tcPr>
          <w:p>
            <w:pPr>
              <w:pStyle w:val="0"/>
              <w:jc w:val="both"/>
            </w:pPr>
            <w:r>
              <w:rPr>
                <w:sz w:val="24"/>
              </w:rPr>
              <w:t xml:space="preserve">в том числе без учета бюджетных инвестиций (субсидий)</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2.2.</w:t>
            </w:r>
          </w:p>
        </w:tc>
        <w:tc>
          <w:tcPr>
            <w:tcW w:w="6180" w:type="dxa"/>
          </w:tcPr>
          <w:p>
            <w:pPr>
              <w:pStyle w:val="0"/>
              <w:jc w:val="both"/>
            </w:pPr>
            <w:r>
              <w:rPr>
                <w:sz w:val="24"/>
              </w:rPr>
              <w:t xml:space="preserve">Структура финансирования (собственные/заемные), %</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2.3.</w:t>
            </w:r>
          </w:p>
        </w:tc>
        <w:tc>
          <w:tcPr>
            <w:tcW w:w="6180" w:type="dxa"/>
          </w:tcPr>
          <w:p>
            <w:pPr>
              <w:pStyle w:val="0"/>
              <w:jc w:val="both"/>
            </w:pPr>
            <w:r>
              <w:rPr>
                <w:sz w:val="24"/>
              </w:rPr>
              <w:t xml:space="preserve">Текущий статус финансирования, млн. рублей</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2.4.</w:t>
            </w:r>
          </w:p>
        </w:tc>
        <w:tc>
          <w:tcPr>
            <w:tcW w:w="6180" w:type="dxa"/>
          </w:tcPr>
          <w:p>
            <w:pPr>
              <w:pStyle w:val="0"/>
              <w:jc w:val="both"/>
            </w:pPr>
            <w:r>
              <w:rPr>
                <w:sz w:val="24"/>
              </w:rPr>
              <w:t xml:space="preserve">Плановый срок окупаемости, лет</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2.5.</w:t>
            </w:r>
          </w:p>
        </w:tc>
        <w:tc>
          <w:tcPr>
            <w:tcW w:w="6180" w:type="dxa"/>
          </w:tcPr>
          <w:p>
            <w:pPr>
              <w:pStyle w:val="0"/>
              <w:jc w:val="both"/>
            </w:pPr>
            <w:r>
              <w:rPr>
                <w:sz w:val="24"/>
              </w:rPr>
              <w:t xml:space="preserve">Количество новых рабочих мест, единиц</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2.6.</w:t>
            </w:r>
          </w:p>
        </w:tc>
        <w:tc>
          <w:tcPr>
            <w:tcW w:w="6180" w:type="dxa"/>
          </w:tcPr>
          <w:p>
            <w:pPr>
              <w:pStyle w:val="0"/>
              <w:jc w:val="both"/>
            </w:pPr>
            <w:r>
              <w:rPr>
                <w:sz w:val="24"/>
              </w:rPr>
              <w:t xml:space="preserve">Объем налоговых отчислений в бюджеты всех уровней, млн. рублей</w:t>
            </w:r>
          </w:p>
        </w:tc>
        <w:tc>
          <w:tcPr>
            <w:tcW w:w="2324" w:type="dxa"/>
            <w:tcBorders>
              <w:right w:val="nil"/>
            </w:tcBorders>
          </w:tcPr>
          <w:p>
            <w:pPr>
              <w:pStyle w:val="0"/>
            </w:pPr>
            <w:r>
              <w:rPr>
                <w:sz w:val="24"/>
              </w:rPr>
            </w:r>
          </w:p>
        </w:tc>
      </w:tr>
    </w:tbl>
    <w:p>
      <w:pPr>
        <w:pStyle w:val="0"/>
        <w:jc w:val="both"/>
      </w:pPr>
      <w:r>
        <w:rPr>
          <w:sz w:val="24"/>
        </w:rPr>
      </w:r>
    </w:p>
    <w:p>
      <w:pPr>
        <w:pStyle w:val="0"/>
        <w:jc w:val="center"/>
      </w:pPr>
      <w:r>
        <w:rPr>
          <w:sz w:val="24"/>
        </w:rPr>
        <w:t xml:space="preserve">Раздел 3. Сроки реализации проекта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67"/>
        <w:gridCol w:w="6180"/>
        <w:gridCol w:w="2324"/>
      </w:tblGrid>
      <w:tr>
        <w:tc>
          <w:tcPr>
            <w:tcW w:w="567" w:type="dxa"/>
            <w:tcBorders>
              <w:left w:val="nil"/>
            </w:tcBorders>
          </w:tcPr>
          <w:p>
            <w:pPr>
              <w:pStyle w:val="0"/>
              <w:jc w:val="center"/>
            </w:pPr>
            <w:r>
              <w:rPr>
                <w:sz w:val="24"/>
              </w:rPr>
              <w:t xml:space="preserve">3.1.</w:t>
            </w:r>
          </w:p>
        </w:tc>
        <w:tc>
          <w:tcPr>
            <w:tcW w:w="6180" w:type="dxa"/>
          </w:tcPr>
          <w:p>
            <w:pPr>
              <w:pStyle w:val="0"/>
              <w:jc w:val="both"/>
            </w:pPr>
            <w:r>
              <w:rPr>
                <w:sz w:val="24"/>
              </w:rPr>
              <w:t xml:space="preserve">Срок начала реализации месяц/год (в формате ММ/ГГГГ)</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3.2.</w:t>
            </w:r>
          </w:p>
        </w:tc>
        <w:tc>
          <w:tcPr>
            <w:tcW w:w="6180" w:type="dxa"/>
          </w:tcPr>
          <w:p>
            <w:pPr>
              <w:pStyle w:val="0"/>
              <w:jc w:val="both"/>
            </w:pPr>
            <w:r>
              <w:rPr>
                <w:sz w:val="24"/>
              </w:rPr>
              <w:t xml:space="preserve">Плановый срок ввода в эксплуатацию основных средств месяц/год (в формате ММ/ГГГГ)</w:t>
            </w:r>
          </w:p>
        </w:tc>
        <w:tc>
          <w:tcPr>
            <w:tcW w:w="2324" w:type="dxa"/>
            <w:tcBorders>
              <w:right w:val="nil"/>
            </w:tcBorders>
          </w:tcPr>
          <w:p>
            <w:pPr>
              <w:pStyle w:val="0"/>
            </w:pPr>
            <w:r>
              <w:rPr>
                <w:sz w:val="24"/>
              </w:rPr>
            </w:r>
          </w:p>
        </w:tc>
      </w:tr>
      <w:tr>
        <w:tc>
          <w:tcPr>
            <w:tcW w:w="567" w:type="dxa"/>
            <w:tcBorders>
              <w:left w:val="nil"/>
            </w:tcBorders>
          </w:tcPr>
          <w:p>
            <w:pPr>
              <w:pStyle w:val="0"/>
              <w:jc w:val="center"/>
            </w:pPr>
            <w:r>
              <w:rPr>
                <w:sz w:val="24"/>
              </w:rPr>
              <w:t xml:space="preserve">3.3.</w:t>
            </w:r>
          </w:p>
        </w:tc>
        <w:tc>
          <w:tcPr>
            <w:tcW w:w="6180" w:type="dxa"/>
          </w:tcPr>
          <w:p>
            <w:pPr>
              <w:pStyle w:val="0"/>
              <w:jc w:val="both"/>
            </w:pPr>
            <w:r>
              <w:rPr>
                <w:sz w:val="24"/>
              </w:rPr>
              <w:t xml:space="preserve">Плановый срок выхода на проектную мощность, месяц/год (в формате ММ/ГГГГ)</w:t>
            </w:r>
          </w:p>
        </w:tc>
        <w:tc>
          <w:tcPr>
            <w:tcW w:w="2324" w:type="dxa"/>
            <w:tcBorders>
              <w:right w:val="nil"/>
            </w:tcBorders>
          </w:tcPr>
          <w:p>
            <w:pPr>
              <w:pStyle w:val="0"/>
            </w:pPr>
            <w:r>
              <w:rPr>
                <w:sz w:val="24"/>
              </w:rPr>
            </w:r>
          </w:p>
        </w:tc>
      </w:tr>
    </w:tbl>
    <w:p>
      <w:pPr>
        <w:pStyle w:val="0"/>
        <w:jc w:val="both"/>
      </w:pPr>
      <w:r>
        <w:rPr>
          <w:sz w:val="24"/>
        </w:rPr>
      </w:r>
    </w:p>
    <w:p>
      <w:pPr>
        <w:pStyle w:val="0"/>
        <w:jc w:val="center"/>
      </w:pPr>
      <w:r>
        <w:rPr>
          <w:sz w:val="24"/>
        </w:rPr>
        <w:t xml:space="preserve">Раздел 4. Плановые показатели проекта по годам</w:t>
      </w:r>
    </w:p>
    <w:p>
      <w:pPr>
        <w:pStyle w:val="0"/>
        <w:jc w:val="center"/>
      </w:pPr>
      <w:r>
        <w:rPr>
          <w:sz w:val="24"/>
        </w:rPr>
        <w:t xml:space="preserve">(на текущий и последующие два года):</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2041"/>
        <w:gridCol w:w="1759"/>
        <w:gridCol w:w="1759"/>
        <w:gridCol w:w="1759"/>
        <w:gridCol w:w="1759"/>
      </w:tblGrid>
      <w:tr>
        <w:tc>
          <w:tcPr>
            <w:tcW w:w="2041" w:type="dxa"/>
            <w:tcBorders>
              <w:left w:val="nil"/>
            </w:tcBorders>
          </w:tcPr>
          <w:p>
            <w:pPr>
              <w:pStyle w:val="0"/>
            </w:pPr>
            <w:r>
              <w:rPr>
                <w:sz w:val="24"/>
              </w:rPr>
            </w:r>
          </w:p>
        </w:tc>
        <w:tc>
          <w:tcPr>
            <w:tcW w:w="1759" w:type="dxa"/>
          </w:tcPr>
          <w:p>
            <w:pPr>
              <w:pStyle w:val="0"/>
              <w:jc w:val="center"/>
            </w:pPr>
            <w:r>
              <w:rPr>
                <w:sz w:val="24"/>
              </w:rPr>
              <w:t xml:space="preserve">Факт на 31 декабря до года предоставления субсидии</w:t>
            </w:r>
          </w:p>
        </w:tc>
        <w:tc>
          <w:tcPr>
            <w:tcW w:w="1759" w:type="dxa"/>
          </w:tcPr>
          <w:p>
            <w:pPr>
              <w:pStyle w:val="0"/>
              <w:jc w:val="center"/>
            </w:pPr>
            <w:r>
              <w:rPr>
                <w:sz w:val="24"/>
              </w:rPr>
              <w:t xml:space="preserve">План на 31 декабря года предоставления субсидии</w:t>
            </w:r>
          </w:p>
        </w:tc>
        <w:tc>
          <w:tcPr>
            <w:tcW w:w="1759" w:type="dxa"/>
          </w:tcPr>
          <w:p>
            <w:pPr>
              <w:pStyle w:val="0"/>
              <w:jc w:val="center"/>
            </w:pPr>
            <w:r>
              <w:rPr>
                <w:sz w:val="24"/>
              </w:rPr>
              <w:t xml:space="preserve">Первый год после года предоставления субсидии</w:t>
            </w:r>
          </w:p>
        </w:tc>
        <w:tc>
          <w:tcPr>
            <w:tcW w:w="1759" w:type="dxa"/>
            <w:tcBorders>
              <w:right w:val="nil"/>
            </w:tcBorders>
          </w:tcPr>
          <w:p>
            <w:pPr>
              <w:pStyle w:val="0"/>
              <w:jc w:val="center"/>
            </w:pPr>
            <w:r>
              <w:rPr>
                <w:sz w:val="24"/>
              </w:rPr>
              <w:t xml:space="preserve">Второй год после года предоставления субсидии</w:t>
            </w:r>
          </w:p>
        </w:tc>
      </w:tr>
      <w:tr>
        <w:tc>
          <w:tcPr>
            <w:tcW w:w="2041" w:type="dxa"/>
            <w:tcBorders>
              <w:left w:val="nil"/>
            </w:tcBorders>
          </w:tcPr>
          <w:p>
            <w:pPr>
              <w:pStyle w:val="0"/>
              <w:jc w:val="center"/>
            </w:pPr>
            <w:r>
              <w:rPr>
                <w:sz w:val="24"/>
              </w:rPr>
              <w:t xml:space="preserve">1</w:t>
            </w:r>
          </w:p>
        </w:tc>
        <w:tc>
          <w:tcPr>
            <w:tcW w:w="1759" w:type="dxa"/>
          </w:tcPr>
          <w:p>
            <w:pPr>
              <w:pStyle w:val="0"/>
              <w:jc w:val="center"/>
            </w:pPr>
            <w:r>
              <w:rPr>
                <w:sz w:val="24"/>
              </w:rPr>
              <w:t xml:space="preserve">2</w:t>
            </w:r>
          </w:p>
        </w:tc>
        <w:tc>
          <w:tcPr>
            <w:tcW w:w="1759" w:type="dxa"/>
          </w:tcPr>
          <w:p>
            <w:pPr>
              <w:pStyle w:val="0"/>
              <w:jc w:val="center"/>
            </w:pPr>
            <w:r>
              <w:rPr>
                <w:sz w:val="24"/>
              </w:rPr>
              <w:t xml:space="preserve">3</w:t>
            </w:r>
          </w:p>
        </w:tc>
        <w:tc>
          <w:tcPr>
            <w:tcW w:w="1759" w:type="dxa"/>
          </w:tcPr>
          <w:p>
            <w:pPr>
              <w:pStyle w:val="0"/>
              <w:jc w:val="center"/>
            </w:pPr>
            <w:r>
              <w:rPr>
                <w:sz w:val="24"/>
              </w:rPr>
              <w:t xml:space="preserve">4</w:t>
            </w:r>
          </w:p>
        </w:tc>
        <w:tc>
          <w:tcPr>
            <w:tcW w:w="1759" w:type="dxa"/>
            <w:tcBorders>
              <w:right w:val="nil"/>
            </w:tcBorders>
          </w:tcPr>
          <w:p>
            <w:pPr>
              <w:pStyle w:val="0"/>
              <w:jc w:val="center"/>
            </w:pPr>
            <w:r>
              <w:rPr>
                <w:sz w:val="24"/>
              </w:rPr>
              <w:t xml:space="preserve">5</w:t>
            </w:r>
          </w:p>
        </w:tc>
      </w:tr>
      <w:tr>
        <w:tc>
          <w:tcPr>
            <w:tcW w:w="2041" w:type="dxa"/>
            <w:tcBorders>
              <w:left w:val="nil"/>
            </w:tcBorders>
          </w:tcPr>
          <w:p>
            <w:pPr>
              <w:pStyle w:val="0"/>
              <w:jc w:val="both"/>
            </w:pPr>
            <w:r>
              <w:rPr>
                <w:sz w:val="24"/>
              </w:rPr>
              <w:t xml:space="preserve">Объем налоговых отчислений в бюджеты всех уровней по субъекту в сфере промышленности, млн. рублей </w:t>
            </w:r>
            <w:hyperlink w:history="0" w:anchor="P1095" w:tooltip="&lt;*&gt; Объем налоговых отчислений в бюджеты всех уровней Российской Федерации без учета сборов и страховых взносов (нарастающим итогом).">
              <w:r>
                <w:rPr>
                  <w:sz w:val="24"/>
                  <w:color w:val="0000ff"/>
                </w:rPr>
                <w:t xml:space="preserve">&lt;*&gt;</w:t>
              </w:r>
            </w:hyperlink>
          </w:p>
        </w:tc>
        <w:tc>
          <w:tcPr>
            <w:tcW w:w="1759" w:type="dxa"/>
          </w:tcPr>
          <w:p>
            <w:pPr>
              <w:pStyle w:val="0"/>
            </w:pPr>
            <w:r>
              <w:rPr>
                <w:sz w:val="24"/>
              </w:rPr>
            </w:r>
          </w:p>
        </w:tc>
        <w:tc>
          <w:tcPr>
            <w:tcW w:w="1759" w:type="dxa"/>
          </w:tcPr>
          <w:p>
            <w:pPr>
              <w:pStyle w:val="0"/>
            </w:pPr>
            <w:r>
              <w:rPr>
                <w:sz w:val="24"/>
              </w:rPr>
            </w:r>
          </w:p>
        </w:tc>
        <w:tc>
          <w:tcPr>
            <w:tcW w:w="1759" w:type="dxa"/>
          </w:tcPr>
          <w:p>
            <w:pPr>
              <w:pStyle w:val="0"/>
            </w:pPr>
            <w:r>
              <w:rPr>
                <w:sz w:val="24"/>
              </w:rPr>
            </w:r>
          </w:p>
        </w:tc>
        <w:tc>
          <w:tcPr>
            <w:tcW w:w="1759" w:type="dxa"/>
            <w:tcBorders>
              <w:right w:val="nil"/>
            </w:tcBorders>
          </w:tcPr>
          <w:p>
            <w:pPr>
              <w:pStyle w:val="0"/>
            </w:pPr>
            <w:r>
              <w:rPr>
                <w:sz w:val="24"/>
              </w:rPr>
            </w:r>
          </w:p>
        </w:tc>
      </w:tr>
      <w:tr>
        <w:tc>
          <w:tcPr>
            <w:tcW w:w="2041" w:type="dxa"/>
            <w:tcBorders>
              <w:left w:val="nil"/>
            </w:tcBorders>
          </w:tcPr>
          <w:p>
            <w:pPr>
              <w:pStyle w:val="0"/>
              <w:jc w:val="both"/>
            </w:pPr>
            <w:r>
              <w:rPr>
                <w:sz w:val="24"/>
              </w:rPr>
              <w:t xml:space="preserve">Среднемесячная заработная плата по субъекту в сфере промышленности, тыс. рублей </w:t>
            </w:r>
            <w:hyperlink w:history="0" w:anchor="P1096" w:tooltip="&lt;**&gt; Показатель, рассчитанный в соответствии с постановлением Правительства Российской Федерации от 24 апреля 2025 г. N 540 &quot;Об особенностях порядка исчисления средней заработной платы&quot;.">
              <w:r>
                <w:rPr>
                  <w:sz w:val="24"/>
                  <w:color w:val="0000ff"/>
                </w:rPr>
                <w:t xml:space="preserve">&lt;**&gt;</w:t>
              </w:r>
            </w:hyperlink>
          </w:p>
        </w:tc>
        <w:tc>
          <w:tcPr>
            <w:tcW w:w="1759" w:type="dxa"/>
          </w:tcPr>
          <w:p>
            <w:pPr>
              <w:pStyle w:val="0"/>
            </w:pPr>
            <w:r>
              <w:rPr>
                <w:sz w:val="24"/>
              </w:rPr>
            </w:r>
          </w:p>
        </w:tc>
        <w:tc>
          <w:tcPr>
            <w:tcW w:w="1759" w:type="dxa"/>
          </w:tcPr>
          <w:p>
            <w:pPr>
              <w:pStyle w:val="0"/>
            </w:pPr>
            <w:r>
              <w:rPr>
                <w:sz w:val="24"/>
              </w:rPr>
            </w:r>
          </w:p>
        </w:tc>
        <w:tc>
          <w:tcPr>
            <w:tcW w:w="1759" w:type="dxa"/>
          </w:tcPr>
          <w:p>
            <w:pPr>
              <w:pStyle w:val="0"/>
            </w:pPr>
            <w:r>
              <w:rPr>
                <w:sz w:val="24"/>
              </w:rPr>
            </w:r>
          </w:p>
        </w:tc>
        <w:tc>
          <w:tcPr>
            <w:tcW w:w="1759" w:type="dxa"/>
            <w:tcBorders>
              <w:right w:val="nil"/>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1095" w:name="P1095"/>
    <w:bookmarkEnd w:id="1095"/>
    <w:p>
      <w:pPr>
        <w:pStyle w:val="0"/>
        <w:spacing w:before="240" w:lineRule="auto"/>
        <w:ind w:firstLine="540"/>
        <w:jc w:val="both"/>
      </w:pPr>
      <w:r>
        <w:rPr>
          <w:sz w:val="24"/>
        </w:rPr>
        <w:t xml:space="preserve">&lt;*&gt; Объем налоговых отчислений в бюджеты всех уровней Российской Федерации без учета сборов и страховых взносов (нарастающим итогом).</w:t>
      </w:r>
    </w:p>
    <w:bookmarkStart w:id="1096" w:name="P1096"/>
    <w:bookmarkEnd w:id="1096"/>
    <w:p>
      <w:pPr>
        <w:pStyle w:val="0"/>
        <w:spacing w:before="240" w:lineRule="auto"/>
        <w:ind w:firstLine="540"/>
        <w:jc w:val="both"/>
      </w:pPr>
      <w:r>
        <w:rPr>
          <w:sz w:val="24"/>
        </w:rPr>
        <w:t xml:space="preserve">&lt;**&gt; Показатель, рассчитанный в соответствии с </w:t>
      </w:r>
      <w:hyperlink w:history="0" r:id="rId102" w:tooltip="Постановление Правительства РФ от 24.04.2025 N 540 &quot;Об особенностях порядка исчисления средней заработной платы&quot; (вместе с &quot;Положением об особенностях порядка исчисления средней заработной платы&quot;) {КонсультантПлюс}">
        <w:r>
          <w:rPr>
            <w:sz w:val="24"/>
            <w:color w:val="0000ff"/>
          </w:rPr>
          <w:t xml:space="preserve">постановлением</w:t>
        </w:r>
      </w:hyperlink>
      <w:r>
        <w:rPr>
          <w:sz w:val="24"/>
        </w:rPr>
        <w:t xml:space="preserve"> Правительства Российской Федерации от 24 апреля 2025 г. N 540 "Об особенностях порядка исчисления средней заработной платы".</w:t>
      </w:r>
    </w:p>
    <w:p>
      <w:pPr>
        <w:pStyle w:val="0"/>
        <w:jc w:val="both"/>
      </w:pPr>
      <w:r>
        <w:rPr>
          <w:sz w:val="24"/>
        </w:rPr>
      </w:r>
    </w:p>
    <w:tbl>
      <w:tblPr>
        <w:tblInd w:w="0" w:type="dxa"/>
        <w:tblLayout w:type="fixed"/>
        <w:tblCellMar>
          <w:top w:w="102" w:type="dxa"/>
          <w:left w:w="62" w:type="dxa"/>
          <w:bottom w:w="102" w:type="dxa"/>
          <w:right w:w="62" w:type="dxa"/>
        </w:tblCellMar>
      </w:tblPr>
      <w:tblGrid>
        <w:gridCol w:w="3969"/>
        <w:gridCol w:w="1701"/>
        <w:gridCol w:w="340"/>
        <w:gridCol w:w="3061"/>
      </w:tblGrid>
      <w:tr>
        <w:tc>
          <w:tcPr>
            <w:tcW w:w="3969" w:type="dxa"/>
            <w:tcBorders>
              <w:top w:val="nil"/>
              <w:left w:val="nil"/>
              <w:bottom w:val="nil"/>
              <w:right w:val="nil"/>
            </w:tcBorders>
          </w:tcPr>
          <w:p>
            <w:pPr>
              <w:pStyle w:val="0"/>
              <w:jc w:val="both"/>
            </w:pPr>
            <w:r>
              <w:rPr>
                <w:sz w:val="24"/>
              </w:rPr>
              <w:t xml:space="preserve">Руководитель</w:t>
            </w:r>
          </w:p>
          <w:p>
            <w:pPr>
              <w:pStyle w:val="0"/>
              <w:jc w:val="both"/>
            </w:pPr>
            <w:r>
              <w:rPr>
                <w:sz w:val="24"/>
              </w:rPr>
              <w:t xml:space="preserve">(индивидуальный предприниматель)</w:t>
            </w:r>
          </w:p>
        </w:tc>
        <w:tc>
          <w:tcPr>
            <w:tcW w:w="170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3061" w:type="dxa"/>
            <w:tcBorders>
              <w:top w:val="nil"/>
              <w:left w:val="nil"/>
              <w:bottom w:val="single" w:sz="4"/>
              <w:right w:val="nil"/>
            </w:tcBorders>
          </w:tcPr>
          <w:p>
            <w:pPr>
              <w:pStyle w:val="0"/>
            </w:pPr>
            <w:r>
              <w:rPr>
                <w:sz w:val="24"/>
              </w:rPr>
            </w:r>
          </w:p>
        </w:tc>
      </w:tr>
      <w:tr>
        <w:tc>
          <w:tcPr>
            <w:tcW w:w="3969" w:type="dxa"/>
            <w:tcBorders>
              <w:top w:val="nil"/>
              <w:left w:val="nil"/>
              <w:bottom w:val="nil"/>
              <w:right w:val="nil"/>
            </w:tcBorders>
          </w:tcPr>
          <w:p>
            <w:pPr>
              <w:pStyle w:val="0"/>
            </w:pPr>
            <w:r>
              <w:rPr>
                <w:sz w:val="24"/>
              </w:rPr>
            </w:r>
          </w:p>
        </w:tc>
        <w:tc>
          <w:tcPr>
            <w:tcW w:w="170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3061" w:type="dxa"/>
            <w:tcBorders>
              <w:top w:val="single" w:sz="4"/>
              <w:left w:val="nil"/>
              <w:bottom w:val="nil"/>
              <w:right w:val="nil"/>
            </w:tcBorders>
          </w:tcPr>
          <w:p>
            <w:pPr>
              <w:pStyle w:val="0"/>
              <w:jc w:val="center"/>
            </w:pPr>
            <w:r>
              <w:rPr>
                <w:sz w:val="24"/>
              </w:rPr>
              <w:t xml:space="preserve">(расшифровка подписи)</w:t>
            </w:r>
          </w:p>
        </w:tc>
      </w:tr>
      <w:tr>
        <w:tc>
          <w:tcPr>
            <w:gridSpan w:val="4"/>
            <w:tcW w:w="9071" w:type="dxa"/>
            <w:tcBorders>
              <w:top w:val="nil"/>
              <w:left w:val="nil"/>
              <w:bottom w:val="nil"/>
              <w:right w:val="nil"/>
            </w:tcBorders>
          </w:tcPr>
          <w:p>
            <w:pPr>
              <w:pStyle w:val="0"/>
            </w:pPr>
            <w:r>
              <w:rPr>
                <w:sz w:val="24"/>
              </w:rPr>
              <w:t xml:space="preserve">____ _____________ 20__ г.</w:t>
            </w:r>
          </w:p>
        </w:tc>
      </w:tr>
      <w:tr>
        <w:tc>
          <w:tcPr>
            <w:gridSpan w:val="4"/>
            <w:tcW w:w="9071" w:type="dxa"/>
            <w:tcBorders>
              <w:top w:val="nil"/>
              <w:left w:val="nil"/>
              <w:bottom w:val="nil"/>
              <w:right w:val="nil"/>
            </w:tcBorders>
          </w:tcPr>
          <w:p>
            <w:pPr>
              <w:pStyle w:val="0"/>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1126" w:name="P1126"/>
    <w:bookmarkEnd w:id="1126"/>
    <w:p>
      <w:pPr>
        <w:pStyle w:val="2"/>
        <w:jc w:val="center"/>
      </w:pPr>
      <w:r>
        <w:rPr>
          <w:sz w:val="24"/>
        </w:rPr>
        <w:t xml:space="preserve">КРИТЕРИИ</w:t>
      </w:r>
    </w:p>
    <w:p>
      <w:pPr>
        <w:pStyle w:val="2"/>
        <w:jc w:val="center"/>
      </w:pPr>
      <w:r>
        <w:rPr>
          <w:sz w:val="24"/>
        </w:rPr>
        <w:t xml:space="preserve">ОЦЕНКИ ЗАЯВОК НА ПРЕДОСТАВЛЕНИЕ СУБСИДИЙ</w:t>
      </w:r>
    </w:p>
    <w:p>
      <w:pPr>
        <w:pStyle w:val="2"/>
        <w:jc w:val="center"/>
      </w:pPr>
      <w:r>
        <w:rPr>
          <w:sz w:val="24"/>
        </w:rPr>
        <w:t xml:space="preserve">ЮРИДИЧЕСКИМ ЛИЦАМ И ИНДИВИДУАЛЬНЫМ ПРЕДПРИНИМАТЕЛЯМ</w:t>
      </w:r>
    </w:p>
    <w:p>
      <w:pPr>
        <w:pStyle w:val="2"/>
        <w:jc w:val="center"/>
      </w:pPr>
      <w:r>
        <w:rPr>
          <w:sz w:val="24"/>
        </w:rPr>
        <w:t xml:space="preserve">НА ВОЗМЕЩЕНИЕ ЧАСТИ ЗАТРАТ ПО ПРИОБРЕТЕНИЮ НОВОГО</w:t>
      </w:r>
    </w:p>
    <w:p>
      <w:pPr>
        <w:pStyle w:val="2"/>
        <w:jc w:val="center"/>
      </w:pPr>
      <w:r>
        <w:rPr>
          <w:sz w:val="24"/>
        </w:rPr>
        <w:t xml:space="preserve">ТЕХНОЛОГИЧЕСКОГО ОБОРУДОВАНИЯ В РАМКАХ РЕАЛИЗАЦИИ</w:t>
      </w:r>
    </w:p>
    <w:p>
      <w:pPr>
        <w:pStyle w:val="2"/>
        <w:jc w:val="center"/>
      </w:pPr>
      <w:r>
        <w:rPr>
          <w:sz w:val="24"/>
        </w:rPr>
        <w:t xml:space="preserve">ИНВЕСТИЦИОННЫХ ПРОЕКТОВ В РАМКАХ РЕАЛИЗАЦИИ</w:t>
      </w:r>
    </w:p>
    <w:p>
      <w:pPr>
        <w:pStyle w:val="2"/>
        <w:jc w:val="center"/>
      </w:pPr>
      <w:r>
        <w:rPr>
          <w:sz w:val="24"/>
        </w:rPr>
        <w:t xml:space="preserve">ИНДИВИДУАЛЬНОЙ ПРОГРАММЫ СОЦИАЛЬНО-ЭКОНОМИЧЕСКОГО</w:t>
      </w:r>
    </w:p>
    <w:p>
      <w:pPr>
        <w:pStyle w:val="2"/>
        <w:jc w:val="center"/>
      </w:pPr>
      <w:r>
        <w:rPr>
          <w:sz w:val="24"/>
        </w:rPr>
        <w:t xml:space="preserve">РАЗВИТИЯ ЧУВАШСКОЙ РЕСПУБЛИКИ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3" w:tooltip="Постановление Кабинета Министров ЧР от 10.06.2026 N 379 &quot;О внесении изменений в постановление Кабинета Министров Чувашской Республики от 19 мая 2025 г. N 284&quot; {КонсультантПлюс}">
              <w:r>
                <w:rPr>
                  <w:sz w:val="24"/>
                  <w:color w:val="0000ff"/>
                </w:rPr>
                <w:t xml:space="preserve">Постановления</w:t>
              </w:r>
            </w:hyperlink>
            <w:r>
              <w:rPr>
                <w:sz w:val="24"/>
                <w:color w:val="392c69"/>
              </w:rPr>
              <w:t xml:space="preserve"> Кабинета Министров ЧР от 10.06.2026 N 379)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Каждой заявке по каждому критерию оценки заявок на предоставление субсидий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(далее - критерий) выставляются следующие баллы:</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510"/>
        <w:gridCol w:w="3912"/>
        <w:gridCol w:w="2551"/>
        <w:gridCol w:w="850"/>
        <w:gridCol w:w="1247"/>
      </w:tblGrid>
      <w:tr>
        <w:tc>
          <w:tcPr>
            <w:tcW w:w="510" w:type="dxa"/>
            <w:tcBorders>
              <w:left w:val="nil"/>
            </w:tcBorders>
          </w:tcPr>
          <w:p>
            <w:pPr>
              <w:pStyle w:val="0"/>
              <w:jc w:val="center"/>
            </w:pPr>
            <w:r>
              <w:rPr>
                <w:sz w:val="24"/>
              </w:rPr>
              <w:t xml:space="preserve">N пп</w:t>
            </w:r>
          </w:p>
        </w:tc>
        <w:tc>
          <w:tcPr>
            <w:tcW w:w="3912" w:type="dxa"/>
          </w:tcPr>
          <w:p>
            <w:pPr>
              <w:pStyle w:val="0"/>
              <w:jc w:val="center"/>
            </w:pPr>
            <w:r>
              <w:rPr>
                <w:sz w:val="24"/>
              </w:rPr>
              <w:t xml:space="preserve">Наименование критерия</w:t>
            </w:r>
          </w:p>
        </w:tc>
        <w:tc>
          <w:tcPr>
            <w:gridSpan w:val="2"/>
            <w:tcW w:w="3401" w:type="dxa"/>
          </w:tcPr>
          <w:p>
            <w:pPr>
              <w:pStyle w:val="0"/>
              <w:jc w:val="center"/>
            </w:pPr>
            <w:r>
              <w:rPr>
                <w:sz w:val="24"/>
              </w:rPr>
              <w:t xml:space="preserve">Баллы (К)</w:t>
            </w:r>
          </w:p>
        </w:tc>
        <w:tc>
          <w:tcPr>
            <w:tcW w:w="1247" w:type="dxa"/>
            <w:tcBorders>
              <w:right w:val="nil"/>
            </w:tcBorders>
          </w:tcPr>
          <w:p>
            <w:pPr>
              <w:pStyle w:val="0"/>
              <w:jc w:val="center"/>
            </w:pPr>
            <w:r>
              <w:rPr>
                <w:sz w:val="24"/>
              </w:rPr>
              <w:t xml:space="preserve">Удельный вес оценки</w:t>
            </w:r>
          </w:p>
        </w:tc>
      </w:tr>
      <w:tr>
        <w:tc>
          <w:tcPr>
            <w:tcW w:w="510" w:type="dxa"/>
            <w:tcBorders>
              <w:left w:val="nil"/>
            </w:tcBorders>
          </w:tcPr>
          <w:p>
            <w:pPr>
              <w:pStyle w:val="0"/>
              <w:jc w:val="center"/>
            </w:pPr>
            <w:r>
              <w:rPr>
                <w:sz w:val="24"/>
              </w:rPr>
              <w:t xml:space="preserve">1</w:t>
            </w:r>
          </w:p>
        </w:tc>
        <w:tc>
          <w:tcPr>
            <w:tcW w:w="3912" w:type="dxa"/>
          </w:tcPr>
          <w:p>
            <w:pPr>
              <w:pStyle w:val="0"/>
              <w:jc w:val="center"/>
            </w:pPr>
            <w:r>
              <w:rPr>
                <w:sz w:val="24"/>
              </w:rPr>
              <w:t xml:space="preserve">2</w:t>
            </w:r>
          </w:p>
        </w:tc>
        <w:tc>
          <w:tcPr>
            <w:gridSpan w:val="2"/>
            <w:tcW w:w="3401" w:type="dxa"/>
          </w:tcPr>
          <w:p>
            <w:pPr>
              <w:pStyle w:val="0"/>
              <w:jc w:val="center"/>
            </w:pPr>
            <w:r>
              <w:rPr>
                <w:sz w:val="24"/>
              </w:rPr>
              <w:t xml:space="preserve">3</w:t>
            </w:r>
          </w:p>
        </w:tc>
        <w:tc>
          <w:tcPr>
            <w:tcW w:w="1247" w:type="dxa"/>
            <w:tcBorders>
              <w:right w:val="nil"/>
            </w:tcBorders>
          </w:tcPr>
          <w:p>
            <w:pPr>
              <w:pStyle w:val="0"/>
              <w:jc w:val="center"/>
            </w:pPr>
            <w:r>
              <w:rPr>
                <w:sz w:val="24"/>
              </w:rPr>
              <w:t xml:space="preserve">4</w:t>
            </w:r>
          </w:p>
        </w:tc>
      </w:tr>
      <w:tr>
        <w:tc>
          <w:tcPr>
            <w:tcW w:w="510" w:type="dxa"/>
            <w:tcBorders>
              <w:left w:val="nil"/>
            </w:tcBorders>
            <w:vMerge w:val="restart"/>
          </w:tcPr>
          <w:p>
            <w:pPr>
              <w:pStyle w:val="0"/>
              <w:jc w:val="center"/>
            </w:pPr>
            <w:r>
              <w:rPr>
                <w:sz w:val="24"/>
              </w:rPr>
              <w:t xml:space="preserve">1.</w:t>
            </w:r>
          </w:p>
        </w:tc>
        <w:tc>
          <w:tcPr>
            <w:tcW w:w="3912" w:type="dxa"/>
            <w:vMerge w:val="restart"/>
          </w:tcPr>
          <w:p>
            <w:pPr>
              <w:pStyle w:val="0"/>
              <w:jc w:val="both"/>
            </w:pPr>
            <w:r>
              <w:rPr>
                <w:sz w:val="24"/>
              </w:rPr>
              <w:t xml:space="preserve">Количество новых рабочих мест, созданных в рамках реализации индивидуальной программы социально-экономического развития Чувашской Республики (нарастающим итогом)</w:t>
            </w:r>
          </w:p>
        </w:tc>
        <w:tc>
          <w:tcPr>
            <w:tcW w:w="2551" w:type="dxa"/>
          </w:tcPr>
          <w:p>
            <w:pPr>
              <w:pStyle w:val="0"/>
              <w:jc w:val="both"/>
            </w:pPr>
            <w:r>
              <w:rPr>
                <w:sz w:val="24"/>
              </w:rPr>
              <w:t xml:space="preserve">до 3 единиц</w:t>
            </w:r>
          </w:p>
        </w:tc>
        <w:tc>
          <w:tcPr>
            <w:tcW w:w="850" w:type="dxa"/>
          </w:tcPr>
          <w:p>
            <w:pPr>
              <w:pStyle w:val="0"/>
              <w:jc w:val="center"/>
            </w:pPr>
            <w:r>
              <w:rPr>
                <w:sz w:val="24"/>
              </w:rPr>
              <w:t xml:space="preserve">25</w:t>
            </w:r>
          </w:p>
        </w:tc>
        <w:tc>
          <w:tcPr>
            <w:tcW w:w="1247" w:type="dxa"/>
            <w:tcBorders>
              <w:right w:val="nil"/>
            </w:tcBorders>
            <w:vMerge w:val="restart"/>
          </w:tcPr>
          <w:p>
            <w:pPr>
              <w:pStyle w:val="0"/>
              <w:jc w:val="center"/>
            </w:pPr>
            <w:r>
              <w:rPr>
                <w:sz w:val="24"/>
              </w:rPr>
              <w:t xml:space="preserve">0,4</w:t>
            </w:r>
          </w:p>
        </w:tc>
      </w:tr>
      <w:tr>
        <w:tc>
          <w:tcPr>
            <w:tcBorders>
              <w:left w:val="nil"/>
            </w:tcBorders>
            <w:vMerge w:val="continue"/>
          </w:tcPr>
          <w:p/>
        </w:tc>
        <w:tc>
          <w:tcPr>
            <w:vMerge w:val="continue"/>
          </w:tcPr>
          <w:p/>
        </w:tc>
        <w:tc>
          <w:tcPr>
            <w:tcW w:w="2551" w:type="dxa"/>
          </w:tcPr>
          <w:p>
            <w:pPr>
              <w:pStyle w:val="0"/>
              <w:jc w:val="both"/>
            </w:pPr>
            <w:r>
              <w:rPr>
                <w:sz w:val="24"/>
              </w:rPr>
              <w:t xml:space="preserve">от 4 до 7 единиц</w:t>
            </w:r>
          </w:p>
        </w:tc>
        <w:tc>
          <w:tcPr>
            <w:tcW w:w="850"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551" w:type="dxa"/>
          </w:tcPr>
          <w:p>
            <w:pPr>
              <w:pStyle w:val="0"/>
              <w:jc w:val="both"/>
            </w:pPr>
            <w:r>
              <w:rPr>
                <w:sz w:val="24"/>
              </w:rPr>
              <w:t xml:space="preserve">от 8 до 10 единиц</w:t>
            </w:r>
          </w:p>
        </w:tc>
        <w:tc>
          <w:tcPr>
            <w:tcW w:w="850"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551" w:type="dxa"/>
          </w:tcPr>
          <w:p>
            <w:pPr>
              <w:pStyle w:val="0"/>
              <w:jc w:val="both"/>
            </w:pPr>
            <w:r>
              <w:rPr>
                <w:sz w:val="24"/>
              </w:rPr>
              <w:t xml:space="preserve">от 11 единиц</w:t>
            </w:r>
          </w:p>
        </w:tc>
        <w:tc>
          <w:tcPr>
            <w:tcW w:w="850" w:type="dxa"/>
          </w:tcPr>
          <w:p>
            <w:pPr>
              <w:pStyle w:val="0"/>
              <w:jc w:val="center"/>
            </w:pPr>
            <w:r>
              <w:rPr>
                <w:sz w:val="24"/>
              </w:rPr>
              <w:t xml:space="preserve">100</w:t>
            </w:r>
          </w:p>
        </w:tc>
        <w:tc>
          <w:tcPr>
            <w:tcBorders>
              <w:right w:val="nil"/>
            </w:tcBorders>
            <w:vMerge w:val="continue"/>
          </w:tcPr>
          <w:p/>
        </w:tc>
      </w:tr>
      <w:tr>
        <w:tc>
          <w:tcPr>
            <w:tcW w:w="510" w:type="dxa"/>
            <w:tcBorders>
              <w:left w:val="nil"/>
            </w:tcBorders>
            <w:vMerge w:val="restart"/>
          </w:tcPr>
          <w:p>
            <w:pPr>
              <w:pStyle w:val="0"/>
              <w:jc w:val="center"/>
            </w:pPr>
            <w:r>
              <w:rPr>
                <w:sz w:val="24"/>
              </w:rPr>
              <w:t xml:space="preserve">2.</w:t>
            </w:r>
          </w:p>
        </w:tc>
        <w:tc>
          <w:tcPr>
            <w:tcW w:w="3912" w:type="dxa"/>
            <w:vMerge w:val="restart"/>
          </w:tcPr>
          <w:p>
            <w:pPr>
              <w:pStyle w:val="0"/>
              <w:jc w:val="both"/>
            </w:pPr>
            <w:r>
              <w:rPr>
                <w:sz w:val="24"/>
              </w:rPr>
              <w:t xml:space="preserve">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w:t>
            </w:r>
          </w:p>
        </w:tc>
        <w:tc>
          <w:tcPr>
            <w:tcW w:w="2551" w:type="dxa"/>
          </w:tcPr>
          <w:p>
            <w:pPr>
              <w:pStyle w:val="0"/>
              <w:jc w:val="both"/>
            </w:pPr>
            <w:r>
              <w:rPr>
                <w:sz w:val="24"/>
              </w:rPr>
              <w:t xml:space="preserve">до 5000 тыс. рублей</w:t>
            </w:r>
          </w:p>
        </w:tc>
        <w:tc>
          <w:tcPr>
            <w:tcW w:w="850" w:type="dxa"/>
          </w:tcPr>
          <w:p>
            <w:pPr>
              <w:pStyle w:val="0"/>
              <w:jc w:val="center"/>
            </w:pPr>
            <w:r>
              <w:rPr>
                <w:sz w:val="24"/>
              </w:rPr>
              <w:t xml:space="preserve">25</w:t>
            </w:r>
          </w:p>
        </w:tc>
        <w:tc>
          <w:tcPr>
            <w:tcW w:w="1247" w:type="dxa"/>
            <w:tcBorders>
              <w:right w:val="nil"/>
            </w:tcBorders>
            <w:vMerge w:val="restart"/>
          </w:tcPr>
          <w:p>
            <w:pPr>
              <w:pStyle w:val="0"/>
              <w:jc w:val="center"/>
            </w:pPr>
            <w:r>
              <w:rPr>
                <w:sz w:val="24"/>
              </w:rPr>
              <w:t xml:space="preserve">0,4</w:t>
            </w:r>
          </w:p>
        </w:tc>
      </w:tr>
      <w:tr>
        <w:tc>
          <w:tcPr>
            <w:tcBorders>
              <w:left w:val="nil"/>
            </w:tcBorders>
            <w:vMerge w:val="continue"/>
          </w:tcPr>
          <w:p/>
        </w:tc>
        <w:tc>
          <w:tcPr>
            <w:vMerge w:val="continue"/>
          </w:tcPr>
          <w:p/>
        </w:tc>
        <w:tc>
          <w:tcPr>
            <w:tcW w:w="2551" w:type="dxa"/>
          </w:tcPr>
          <w:p>
            <w:pPr>
              <w:pStyle w:val="0"/>
              <w:jc w:val="both"/>
            </w:pPr>
            <w:r>
              <w:rPr>
                <w:sz w:val="24"/>
              </w:rPr>
              <w:t xml:space="preserve">от 5001 тыс. рублей до 20000 тыс. рублей</w:t>
            </w:r>
          </w:p>
        </w:tc>
        <w:tc>
          <w:tcPr>
            <w:tcW w:w="850" w:type="dxa"/>
          </w:tcPr>
          <w:p>
            <w:pPr>
              <w:pStyle w:val="0"/>
              <w:jc w:val="center"/>
            </w:pPr>
            <w:r>
              <w:rPr>
                <w:sz w:val="24"/>
              </w:rPr>
              <w:t xml:space="preserve">50</w:t>
            </w:r>
          </w:p>
        </w:tc>
        <w:tc>
          <w:tcPr>
            <w:tcBorders>
              <w:right w:val="nil"/>
            </w:tcBorders>
            <w:vMerge w:val="continue"/>
          </w:tcPr>
          <w:p/>
        </w:tc>
      </w:tr>
      <w:tr>
        <w:tc>
          <w:tcPr>
            <w:tcBorders>
              <w:left w:val="nil"/>
            </w:tcBorders>
            <w:vMerge w:val="continue"/>
          </w:tcPr>
          <w:p/>
        </w:tc>
        <w:tc>
          <w:tcPr>
            <w:vMerge w:val="continue"/>
          </w:tcPr>
          <w:p/>
        </w:tc>
        <w:tc>
          <w:tcPr>
            <w:tcW w:w="2551" w:type="dxa"/>
          </w:tcPr>
          <w:p>
            <w:pPr>
              <w:pStyle w:val="0"/>
              <w:jc w:val="both"/>
            </w:pPr>
            <w:r>
              <w:rPr>
                <w:sz w:val="24"/>
              </w:rPr>
              <w:t xml:space="preserve">от 20001 тыс. рублей до 30000 тыс. рублей</w:t>
            </w:r>
          </w:p>
        </w:tc>
        <w:tc>
          <w:tcPr>
            <w:tcW w:w="850" w:type="dxa"/>
          </w:tcPr>
          <w:p>
            <w:pPr>
              <w:pStyle w:val="0"/>
              <w:jc w:val="center"/>
            </w:pPr>
            <w:r>
              <w:rPr>
                <w:sz w:val="24"/>
              </w:rPr>
              <w:t xml:space="preserve">75</w:t>
            </w:r>
          </w:p>
        </w:tc>
        <w:tc>
          <w:tcPr>
            <w:tcBorders>
              <w:right w:val="nil"/>
            </w:tcBorders>
            <w:vMerge w:val="continue"/>
          </w:tcPr>
          <w:p/>
        </w:tc>
      </w:tr>
      <w:tr>
        <w:tc>
          <w:tcPr>
            <w:tcBorders>
              <w:left w:val="nil"/>
            </w:tcBorders>
            <w:vMerge w:val="continue"/>
          </w:tcPr>
          <w:p/>
        </w:tc>
        <w:tc>
          <w:tcPr>
            <w:vMerge w:val="continue"/>
          </w:tcPr>
          <w:p/>
        </w:tc>
        <w:tc>
          <w:tcPr>
            <w:tcW w:w="2551" w:type="dxa"/>
          </w:tcPr>
          <w:p>
            <w:pPr>
              <w:pStyle w:val="0"/>
              <w:jc w:val="both"/>
            </w:pPr>
            <w:r>
              <w:rPr>
                <w:sz w:val="24"/>
              </w:rPr>
              <w:t xml:space="preserve">от 30001 тыс. рублей</w:t>
            </w:r>
          </w:p>
        </w:tc>
        <w:tc>
          <w:tcPr>
            <w:tcW w:w="850" w:type="dxa"/>
          </w:tcPr>
          <w:p>
            <w:pPr>
              <w:pStyle w:val="0"/>
              <w:jc w:val="center"/>
            </w:pPr>
            <w:r>
              <w:rPr>
                <w:sz w:val="24"/>
              </w:rPr>
              <w:t xml:space="preserve">100</w:t>
            </w:r>
          </w:p>
        </w:tc>
        <w:tc>
          <w:tcPr>
            <w:tcBorders>
              <w:right w:val="nil"/>
            </w:tcBorders>
            <w:vMerge w:val="continue"/>
          </w:tcPr>
          <w:p/>
        </w:tc>
      </w:tr>
      <w:tr>
        <w:tc>
          <w:tcPr>
            <w:tcW w:w="510" w:type="dxa"/>
            <w:tcBorders>
              <w:left w:val="nil"/>
            </w:tcBorders>
          </w:tcPr>
          <w:p>
            <w:pPr>
              <w:pStyle w:val="0"/>
              <w:jc w:val="center"/>
            </w:pPr>
            <w:r>
              <w:rPr>
                <w:sz w:val="24"/>
              </w:rPr>
              <w:t xml:space="preserve">3.</w:t>
            </w:r>
          </w:p>
        </w:tc>
        <w:tc>
          <w:tcPr>
            <w:tcW w:w="3912" w:type="dxa"/>
          </w:tcPr>
          <w:p>
            <w:pPr>
              <w:pStyle w:val="0"/>
              <w:jc w:val="both"/>
            </w:pPr>
            <w:r>
              <w:rPr>
                <w:sz w:val="24"/>
              </w:rPr>
              <w:t xml:space="preserve">Значение уровня в рейтинге ответственного ведения бизнеса</w:t>
            </w:r>
          </w:p>
        </w:tc>
        <w:tc>
          <w:tcPr>
            <w:tcW w:w="2551" w:type="dxa"/>
          </w:tcPr>
          <w:p>
            <w:pPr>
              <w:pStyle w:val="0"/>
              <w:jc w:val="both"/>
            </w:pPr>
            <w:r>
              <w:rPr>
                <w:sz w:val="24"/>
              </w:rPr>
              <w:t xml:space="preserve">уровень "ССС" - "С"</w:t>
            </w:r>
          </w:p>
        </w:tc>
        <w:tc>
          <w:tcPr>
            <w:tcW w:w="850" w:type="dxa"/>
          </w:tcPr>
          <w:p>
            <w:pPr>
              <w:pStyle w:val="0"/>
              <w:jc w:val="center"/>
            </w:pPr>
            <w:r>
              <w:rPr>
                <w:sz w:val="24"/>
              </w:rPr>
              <w:t xml:space="preserve">25</w:t>
            </w:r>
          </w:p>
        </w:tc>
        <w:tc>
          <w:tcPr>
            <w:tcW w:w="1247" w:type="dxa"/>
            <w:tcBorders>
              <w:right w:val="nil"/>
            </w:tcBorders>
            <w:vMerge w:val="restart"/>
          </w:tcPr>
          <w:p>
            <w:pPr>
              <w:pStyle w:val="0"/>
              <w:jc w:val="center"/>
            </w:pPr>
            <w:r>
              <w:rPr>
                <w:sz w:val="24"/>
              </w:rPr>
              <w:t xml:space="preserve">0,2</w:t>
            </w:r>
          </w:p>
        </w:tc>
      </w:tr>
      <w:tr>
        <w:tc>
          <w:tcPr>
            <w:tcW w:w="510" w:type="dxa"/>
            <w:tcBorders>
              <w:left w:val="nil"/>
            </w:tcBorders>
          </w:tcPr>
          <w:p>
            <w:pPr>
              <w:pStyle w:val="0"/>
            </w:pPr>
            <w:r>
              <w:rPr>
                <w:sz w:val="24"/>
              </w:rPr>
            </w:r>
          </w:p>
        </w:tc>
        <w:tc>
          <w:tcPr>
            <w:tcW w:w="3912" w:type="dxa"/>
          </w:tcPr>
          <w:p>
            <w:pPr>
              <w:pStyle w:val="0"/>
            </w:pPr>
            <w:r>
              <w:rPr>
                <w:sz w:val="24"/>
              </w:rPr>
            </w:r>
          </w:p>
        </w:tc>
        <w:tc>
          <w:tcPr>
            <w:tcW w:w="2551" w:type="dxa"/>
          </w:tcPr>
          <w:p>
            <w:pPr>
              <w:pStyle w:val="0"/>
              <w:jc w:val="both"/>
            </w:pPr>
            <w:r>
              <w:rPr>
                <w:sz w:val="24"/>
              </w:rPr>
              <w:t xml:space="preserve">уровень "ВВВ" - "В"</w:t>
            </w:r>
          </w:p>
        </w:tc>
        <w:tc>
          <w:tcPr>
            <w:tcW w:w="850" w:type="dxa"/>
          </w:tcPr>
          <w:p>
            <w:pPr>
              <w:pStyle w:val="0"/>
              <w:jc w:val="center"/>
            </w:pPr>
            <w:r>
              <w:rPr>
                <w:sz w:val="24"/>
              </w:rPr>
              <w:t xml:space="preserve">50</w:t>
            </w:r>
          </w:p>
        </w:tc>
        <w:tc>
          <w:tcPr>
            <w:tcBorders>
              <w:right w:val="nil"/>
            </w:tcBorders>
            <w:vMerge w:val="continue"/>
          </w:tcPr>
          <w:p/>
        </w:tc>
      </w:tr>
      <w:tr>
        <w:tc>
          <w:tcPr>
            <w:tcW w:w="510" w:type="dxa"/>
            <w:tcBorders>
              <w:left w:val="nil"/>
            </w:tcBorders>
          </w:tcPr>
          <w:p>
            <w:pPr>
              <w:pStyle w:val="0"/>
            </w:pPr>
            <w:r>
              <w:rPr>
                <w:sz w:val="24"/>
              </w:rPr>
            </w:r>
          </w:p>
        </w:tc>
        <w:tc>
          <w:tcPr>
            <w:tcW w:w="3912" w:type="dxa"/>
          </w:tcPr>
          <w:p>
            <w:pPr>
              <w:pStyle w:val="0"/>
            </w:pPr>
            <w:r>
              <w:rPr>
                <w:sz w:val="24"/>
              </w:rPr>
            </w:r>
          </w:p>
        </w:tc>
        <w:tc>
          <w:tcPr>
            <w:tcW w:w="2551" w:type="dxa"/>
          </w:tcPr>
          <w:p>
            <w:pPr>
              <w:pStyle w:val="0"/>
              <w:jc w:val="both"/>
            </w:pPr>
            <w:r>
              <w:rPr>
                <w:sz w:val="24"/>
              </w:rPr>
              <w:t xml:space="preserve">уровень "АА" - "А"</w:t>
            </w:r>
          </w:p>
        </w:tc>
        <w:tc>
          <w:tcPr>
            <w:tcW w:w="850" w:type="dxa"/>
          </w:tcPr>
          <w:p>
            <w:pPr>
              <w:pStyle w:val="0"/>
              <w:jc w:val="center"/>
            </w:pPr>
            <w:r>
              <w:rPr>
                <w:sz w:val="24"/>
              </w:rPr>
              <w:t xml:space="preserve">75</w:t>
            </w:r>
          </w:p>
        </w:tc>
        <w:tc>
          <w:tcPr>
            <w:tcBorders>
              <w:right w:val="nil"/>
            </w:tcBorders>
            <w:vMerge w:val="continue"/>
          </w:tcPr>
          <w:p/>
        </w:tc>
      </w:tr>
      <w:tr>
        <w:tc>
          <w:tcPr>
            <w:tcW w:w="510" w:type="dxa"/>
            <w:tcBorders>
              <w:left w:val="nil"/>
            </w:tcBorders>
          </w:tcPr>
          <w:p>
            <w:pPr>
              <w:pStyle w:val="0"/>
            </w:pPr>
            <w:r>
              <w:rPr>
                <w:sz w:val="24"/>
              </w:rPr>
            </w:r>
          </w:p>
        </w:tc>
        <w:tc>
          <w:tcPr>
            <w:tcW w:w="3912" w:type="dxa"/>
          </w:tcPr>
          <w:p>
            <w:pPr>
              <w:pStyle w:val="0"/>
            </w:pPr>
            <w:r>
              <w:rPr>
                <w:sz w:val="24"/>
              </w:rPr>
            </w:r>
          </w:p>
        </w:tc>
        <w:tc>
          <w:tcPr>
            <w:tcW w:w="2551" w:type="dxa"/>
          </w:tcPr>
          <w:p>
            <w:pPr>
              <w:pStyle w:val="0"/>
              <w:jc w:val="both"/>
            </w:pPr>
            <w:r>
              <w:rPr>
                <w:sz w:val="24"/>
              </w:rPr>
              <w:t xml:space="preserve">уровень "ААА"</w:t>
            </w:r>
          </w:p>
        </w:tc>
        <w:tc>
          <w:tcPr>
            <w:tcW w:w="850" w:type="dxa"/>
          </w:tcPr>
          <w:p>
            <w:pPr>
              <w:pStyle w:val="0"/>
              <w:jc w:val="center"/>
            </w:pPr>
            <w:r>
              <w:rPr>
                <w:sz w:val="24"/>
              </w:rPr>
              <w:t xml:space="preserve">100</w:t>
            </w:r>
          </w:p>
        </w:tc>
        <w:tc>
          <w:tcPr>
            <w:tcBorders>
              <w:right w:val="nil"/>
            </w:tcBorders>
            <w:vMerge w:val="continue"/>
          </w:tcPr>
          <w:p/>
        </w:tc>
      </w:tr>
    </w:tbl>
    <w:p>
      <w:pPr>
        <w:pStyle w:val="0"/>
        <w:jc w:val="both"/>
      </w:pPr>
      <w:r>
        <w:rPr>
          <w:sz w:val="24"/>
        </w:rPr>
      </w:r>
    </w:p>
    <w:p>
      <w:pPr>
        <w:pStyle w:val="0"/>
        <w:ind w:firstLine="540"/>
        <w:jc w:val="both"/>
      </w:pPr>
      <w:r>
        <w:rPr>
          <w:sz w:val="24"/>
        </w:rPr>
        <w:t xml:space="preserve">Итоговая оценка заявки определяется по формуле</w:t>
      </w:r>
    </w:p>
    <w:p>
      <w:pPr>
        <w:pStyle w:val="0"/>
        <w:jc w:val="both"/>
      </w:pPr>
      <w:r>
        <w:rPr>
          <w:sz w:val="24"/>
        </w:rPr>
      </w:r>
    </w:p>
    <w:p>
      <w:pPr>
        <w:pStyle w:val="0"/>
        <w:ind w:firstLine="540"/>
        <w:jc w:val="both"/>
      </w:pPr>
      <w:r>
        <w:rPr>
          <w:sz w:val="24"/>
        </w:rPr>
        <w:t xml:space="preserve">Э = С</w:t>
      </w:r>
      <w:r>
        <w:rPr>
          <w:sz w:val="24"/>
          <w:vertAlign w:val="subscript"/>
        </w:rPr>
        <w:t xml:space="preserve">1</w:t>
      </w:r>
      <w:r>
        <w:rPr>
          <w:sz w:val="24"/>
        </w:rPr>
        <w:t xml:space="preserve"> x К</w:t>
      </w:r>
      <w:r>
        <w:rPr>
          <w:sz w:val="24"/>
          <w:vertAlign w:val="subscript"/>
        </w:rPr>
        <w:t xml:space="preserve">1</w:t>
      </w:r>
      <w:r>
        <w:rPr>
          <w:sz w:val="24"/>
        </w:rPr>
        <w:t xml:space="preserve"> + С</w:t>
      </w:r>
      <w:r>
        <w:rPr>
          <w:sz w:val="24"/>
          <w:vertAlign w:val="subscript"/>
        </w:rPr>
        <w:t xml:space="preserve">2</w:t>
      </w:r>
      <w:r>
        <w:rPr>
          <w:sz w:val="24"/>
        </w:rPr>
        <w:t xml:space="preserve"> x К</w:t>
      </w:r>
      <w:r>
        <w:rPr>
          <w:sz w:val="24"/>
          <w:vertAlign w:val="subscript"/>
        </w:rPr>
        <w:t xml:space="preserve">2</w:t>
      </w:r>
      <w:r>
        <w:rPr>
          <w:sz w:val="24"/>
        </w:rPr>
        <w:t xml:space="preserve"> + С</w:t>
      </w:r>
      <w:r>
        <w:rPr>
          <w:sz w:val="24"/>
          <w:vertAlign w:val="subscript"/>
        </w:rPr>
        <w:t xml:space="preserve">3</w:t>
      </w:r>
      <w:r>
        <w:rPr>
          <w:sz w:val="24"/>
        </w:rPr>
        <w:t xml:space="preserve"> x К</w:t>
      </w:r>
      <w:r>
        <w:rPr>
          <w:sz w:val="24"/>
          <w:vertAlign w:val="subscript"/>
        </w:rPr>
        <w:t xml:space="preserve">3</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Э - итоговая оценка заявки;</w:t>
      </w:r>
    </w:p>
    <w:p>
      <w:pPr>
        <w:pStyle w:val="0"/>
        <w:spacing w:before="240" w:lineRule="auto"/>
        <w:ind w:firstLine="540"/>
        <w:jc w:val="both"/>
      </w:pPr>
      <w:r>
        <w:rPr>
          <w:sz w:val="24"/>
        </w:rPr>
        <w:t xml:space="preserve">С</w:t>
      </w:r>
      <w:r>
        <w:rPr>
          <w:sz w:val="24"/>
          <w:vertAlign w:val="subscript"/>
        </w:rPr>
        <w:t xml:space="preserve">1</w:t>
      </w:r>
      <w:r>
        <w:rPr>
          <w:sz w:val="24"/>
        </w:rPr>
        <w:t xml:space="preserve"> - значение оценки по критерию "Количество новых рабочих мест, созданных в рамках реализации индивидуальной программы социально-экономического развития Чувашской Республики";</w:t>
      </w:r>
    </w:p>
    <w:p>
      <w:pPr>
        <w:pStyle w:val="0"/>
        <w:spacing w:before="240" w:lineRule="auto"/>
        <w:ind w:firstLine="540"/>
        <w:jc w:val="both"/>
      </w:pPr>
      <w:r>
        <w:rPr>
          <w:sz w:val="24"/>
        </w:rPr>
        <w:t xml:space="preserve">К</w:t>
      </w:r>
      <w:r>
        <w:rPr>
          <w:sz w:val="24"/>
          <w:vertAlign w:val="subscript"/>
        </w:rPr>
        <w:t xml:space="preserve">1</w:t>
      </w:r>
      <w:r>
        <w:rPr>
          <w:sz w:val="24"/>
        </w:rPr>
        <w:t xml:space="preserve"> - удельный вес оценки по критерию "Количество новых рабочих мест, созданных в рамках реализации индивидуальной программы социально-экономического развития Чувашской Республики";</w:t>
      </w:r>
    </w:p>
    <w:p>
      <w:pPr>
        <w:pStyle w:val="0"/>
        <w:spacing w:before="240" w:lineRule="auto"/>
        <w:ind w:firstLine="540"/>
        <w:jc w:val="both"/>
      </w:pPr>
      <w:r>
        <w:rPr>
          <w:sz w:val="24"/>
        </w:rPr>
        <w:t xml:space="preserve">С</w:t>
      </w:r>
      <w:r>
        <w:rPr>
          <w:sz w:val="24"/>
          <w:vertAlign w:val="subscript"/>
        </w:rPr>
        <w:t xml:space="preserve">2</w:t>
      </w:r>
      <w:r>
        <w:rPr>
          <w:sz w:val="24"/>
        </w:rPr>
        <w:t xml:space="preserve"> - значение оценки по критерию "Объем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w:t>
      </w:r>
    </w:p>
    <w:p>
      <w:pPr>
        <w:pStyle w:val="0"/>
        <w:spacing w:before="240" w:lineRule="auto"/>
        <w:ind w:firstLine="540"/>
        <w:jc w:val="both"/>
      </w:pPr>
      <w:r>
        <w:rPr>
          <w:sz w:val="24"/>
        </w:rPr>
        <w:t xml:space="preserve">К</w:t>
      </w:r>
      <w:r>
        <w:rPr>
          <w:sz w:val="24"/>
          <w:vertAlign w:val="subscript"/>
        </w:rPr>
        <w:t xml:space="preserve">2</w:t>
      </w:r>
      <w:r>
        <w:rPr>
          <w:sz w:val="24"/>
        </w:rPr>
        <w:t xml:space="preserve"> - удельный вес оценки по критерию "Объем привлеченных инвестиций в основной капитал (без бюджетных инвестиций) в рамках реализации индивидуальной программы социально-экономического развития Чувашской Республики (нарастающим итогом)";</w:t>
      </w:r>
    </w:p>
    <w:p>
      <w:pPr>
        <w:pStyle w:val="0"/>
        <w:spacing w:before="240" w:lineRule="auto"/>
        <w:ind w:firstLine="540"/>
        <w:jc w:val="both"/>
      </w:pPr>
      <w:r>
        <w:rPr>
          <w:sz w:val="24"/>
        </w:rPr>
        <w:t xml:space="preserve">С</w:t>
      </w:r>
      <w:r>
        <w:rPr>
          <w:sz w:val="24"/>
          <w:vertAlign w:val="subscript"/>
        </w:rPr>
        <w:t xml:space="preserve">3</w:t>
      </w:r>
      <w:r>
        <w:rPr>
          <w:sz w:val="24"/>
        </w:rPr>
        <w:t xml:space="preserve"> - значение оценки по критерию "Значение уровня в рейтинге ответственного ведения бизнеса";</w:t>
      </w:r>
    </w:p>
    <w:p>
      <w:pPr>
        <w:pStyle w:val="0"/>
        <w:spacing w:before="240" w:lineRule="auto"/>
        <w:ind w:firstLine="540"/>
        <w:jc w:val="both"/>
      </w:pPr>
      <w:r>
        <w:rPr>
          <w:sz w:val="24"/>
        </w:rPr>
        <w:t xml:space="preserve">К</w:t>
      </w:r>
      <w:r>
        <w:rPr>
          <w:sz w:val="24"/>
          <w:vertAlign w:val="subscript"/>
        </w:rPr>
        <w:t xml:space="preserve">3</w:t>
      </w:r>
      <w:r>
        <w:rPr>
          <w:sz w:val="24"/>
        </w:rPr>
        <w:t xml:space="preserve"> - удельный вес оценки по критерию "Значение уровня в рейтинге ответственного ведения бизнеса".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9</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1216" w:name="P1216"/>
    <w:bookmarkEnd w:id="1216"/>
    <w:p>
      <w:pPr>
        <w:pStyle w:val="0"/>
        <w:jc w:val="center"/>
      </w:pPr>
      <w:r>
        <w:rPr>
          <w:sz w:val="24"/>
        </w:rPr>
        <w:t xml:space="preserve">РЕЙТИНГ ЗАЯВОК</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394"/>
        <w:gridCol w:w="6690"/>
        <w:gridCol w:w="1984"/>
      </w:tblGrid>
      <w:tr>
        <w:tc>
          <w:tcPr>
            <w:tcW w:w="394" w:type="dxa"/>
            <w:tcBorders>
              <w:left w:val="nil"/>
            </w:tcBorders>
          </w:tcPr>
          <w:p>
            <w:pPr>
              <w:pStyle w:val="0"/>
              <w:jc w:val="center"/>
            </w:pPr>
            <w:r>
              <w:rPr>
                <w:sz w:val="24"/>
              </w:rPr>
              <w:t xml:space="preserve">N пп</w:t>
            </w:r>
          </w:p>
        </w:tc>
        <w:tc>
          <w:tcPr>
            <w:tcW w:w="6690" w:type="dxa"/>
          </w:tcPr>
          <w:p>
            <w:pPr>
              <w:pStyle w:val="0"/>
              <w:jc w:val="center"/>
            </w:pPr>
            <w:r>
              <w:rPr>
                <w:sz w:val="24"/>
              </w:rPr>
              <w:t xml:space="preserve">Наименование юридического лица, фамилия, имя, отчество (последнее - при наличии) индивидуального предпринимателя, ИНН</w:t>
            </w:r>
          </w:p>
        </w:tc>
        <w:tc>
          <w:tcPr>
            <w:tcW w:w="1984" w:type="dxa"/>
            <w:tcBorders>
              <w:right w:val="nil"/>
            </w:tcBorders>
          </w:tcPr>
          <w:p>
            <w:pPr>
              <w:pStyle w:val="0"/>
              <w:jc w:val="center"/>
            </w:pPr>
            <w:r>
              <w:rPr>
                <w:sz w:val="24"/>
              </w:rPr>
              <w:t xml:space="preserve">Сумма субсидии, рублей</w:t>
            </w:r>
          </w:p>
        </w:tc>
      </w:tr>
      <w:tr>
        <w:tc>
          <w:tcPr>
            <w:tcW w:w="394" w:type="dxa"/>
            <w:tcBorders>
              <w:left w:val="nil"/>
            </w:tcBorders>
          </w:tcPr>
          <w:p>
            <w:pPr>
              <w:pStyle w:val="0"/>
              <w:jc w:val="center"/>
            </w:pPr>
            <w:r>
              <w:rPr>
                <w:sz w:val="24"/>
              </w:rPr>
              <w:t xml:space="preserve">1.</w:t>
            </w:r>
          </w:p>
        </w:tc>
        <w:tc>
          <w:tcPr>
            <w:tcW w:w="6690" w:type="dxa"/>
          </w:tcPr>
          <w:p>
            <w:pPr>
              <w:pStyle w:val="0"/>
            </w:pPr>
            <w:r>
              <w:rPr>
                <w:sz w:val="24"/>
              </w:rPr>
            </w:r>
          </w:p>
        </w:tc>
        <w:tc>
          <w:tcPr>
            <w:tcW w:w="1984" w:type="dxa"/>
            <w:tcBorders>
              <w:right w:val="nil"/>
            </w:tcBorders>
          </w:tcPr>
          <w:p>
            <w:pPr>
              <w:pStyle w:val="0"/>
            </w:pPr>
            <w:r>
              <w:rPr>
                <w:sz w:val="24"/>
              </w:rPr>
            </w:r>
          </w:p>
        </w:tc>
      </w:tr>
      <w:tr>
        <w:tc>
          <w:tcPr>
            <w:tcW w:w="394" w:type="dxa"/>
            <w:tcBorders>
              <w:left w:val="nil"/>
            </w:tcBorders>
          </w:tcPr>
          <w:p>
            <w:pPr>
              <w:pStyle w:val="0"/>
              <w:jc w:val="center"/>
            </w:pPr>
            <w:r>
              <w:rPr>
                <w:sz w:val="24"/>
              </w:rPr>
              <w:t xml:space="preserve">2.</w:t>
            </w:r>
          </w:p>
        </w:tc>
        <w:tc>
          <w:tcPr>
            <w:tcW w:w="6690" w:type="dxa"/>
          </w:tcPr>
          <w:p>
            <w:pPr>
              <w:pStyle w:val="0"/>
            </w:pPr>
            <w:r>
              <w:rPr>
                <w:sz w:val="24"/>
              </w:rPr>
            </w:r>
          </w:p>
        </w:tc>
        <w:tc>
          <w:tcPr>
            <w:tcW w:w="1984" w:type="dxa"/>
            <w:tcBorders>
              <w:right w:val="nil"/>
            </w:tcBorders>
          </w:tcPr>
          <w:p>
            <w:pPr>
              <w:pStyle w:val="0"/>
            </w:pPr>
            <w:r>
              <w:rPr>
                <w:sz w:val="24"/>
              </w:rPr>
            </w:r>
          </w:p>
        </w:tc>
      </w:tr>
      <w:tr>
        <w:tc>
          <w:tcPr>
            <w:tcW w:w="394" w:type="dxa"/>
            <w:tcBorders>
              <w:left w:val="nil"/>
            </w:tcBorders>
          </w:tcPr>
          <w:p>
            <w:pPr>
              <w:pStyle w:val="0"/>
              <w:jc w:val="center"/>
            </w:pPr>
            <w:r>
              <w:rPr>
                <w:sz w:val="24"/>
              </w:rPr>
              <w:t xml:space="preserve">...</w:t>
            </w:r>
          </w:p>
        </w:tc>
        <w:tc>
          <w:tcPr>
            <w:tcW w:w="6690" w:type="dxa"/>
          </w:tcPr>
          <w:p>
            <w:pPr>
              <w:pStyle w:val="0"/>
            </w:pPr>
            <w:r>
              <w:rPr>
                <w:sz w:val="24"/>
              </w:rPr>
            </w:r>
          </w:p>
        </w:tc>
        <w:tc>
          <w:tcPr>
            <w:tcW w:w="1984" w:type="dxa"/>
            <w:tcBorders>
              <w:right w:val="nil"/>
            </w:tcBorders>
          </w:tcPr>
          <w:p>
            <w:pPr>
              <w:pStyle w:val="0"/>
            </w:pPr>
            <w:r>
              <w:rPr>
                <w:sz w:val="24"/>
              </w:rPr>
            </w:r>
          </w:p>
        </w:tc>
      </w:tr>
    </w:tbl>
    <w:p>
      <w:pPr>
        <w:pStyle w:val="0"/>
        <w:jc w:val="both"/>
      </w:pPr>
      <w:r>
        <w:rPr>
          <w:sz w:val="24"/>
        </w:rPr>
      </w:r>
    </w:p>
    <w:p>
      <w:pPr>
        <w:pStyle w:val="1"/>
        <w:jc w:val="both"/>
      </w:pPr>
      <w:r>
        <w:rPr>
          <w:sz w:val="20"/>
        </w:rPr>
        <w:t xml:space="preserve">Министр</w:t>
      </w:r>
    </w:p>
    <w:p>
      <w:pPr>
        <w:pStyle w:val="1"/>
        <w:jc w:val="both"/>
      </w:pPr>
      <w:r>
        <w:rPr>
          <w:sz w:val="20"/>
        </w:rPr>
        <w:t xml:space="preserve">промышленности и энергетики</w:t>
      </w:r>
    </w:p>
    <w:p>
      <w:pPr>
        <w:pStyle w:val="1"/>
        <w:jc w:val="both"/>
      </w:pPr>
      <w:r>
        <w:rPr>
          <w:sz w:val="20"/>
        </w:rPr>
        <w:t xml:space="preserve">Чувашской Республики</w:t>
      </w:r>
    </w:p>
    <w:p>
      <w:pPr>
        <w:pStyle w:val="1"/>
        <w:jc w:val="both"/>
      </w:pPr>
      <w:r>
        <w:rPr>
          <w:sz w:val="20"/>
        </w:rPr>
        <w:t xml:space="preserve">(уполномоченное им лицо)       _________________    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Министерства</w:t>
      </w:r>
    </w:p>
    <w:p>
      <w:pPr>
        <w:pStyle w:val="1"/>
        <w:jc w:val="both"/>
      </w:pPr>
      <w:r>
        <w:rPr>
          <w:sz w:val="20"/>
        </w:rPr>
        <w:t xml:space="preserve">промышленности и энергетики</w:t>
      </w:r>
    </w:p>
    <w:p>
      <w:pPr>
        <w:pStyle w:val="1"/>
        <w:jc w:val="both"/>
      </w:pPr>
      <w:r>
        <w:rPr>
          <w:sz w:val="20"/>
        </w:rPr>
        <w:t xml:space="preserve">Чувашской Республики           _________________    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10</w:t>
      </w:r>
    </w:p>
    <w:p>
      <w:pPr>
        <w:pStyle w:val="0"/>
        <w:jc w:val="right"/>
      </w:pPr>
      <w:r>
        <w:rPr>
          <w:sz w:val="24"/>
        </w:rPr>
        <w:t xml:space="preserve">к Правилам предоставления субсидий</w:t>
      </w:r>
    </w:p>
    <w:p>
      <w:pPr>
        <w:pStyle w:val="0"/>
        <w:jc w:val="right"/>
      </w:pPr>
      <w:r>
        <w:rPr>
          <w:sz w:val="24"/>
        </w:rPr>
        <w:t xml:space="preserve">из республиканского бюджета</w:t>
      </w:r>
    </w:p>
    <w:p>
      <w:pPr>
        <w:pStyle w:val="0"/>
        <w:jc w:val="right"/>
      </w:pPr>
      <w:r>
        <w:rPr>
          <w:sz w:val="24"/>
        </w:rPr>
        <w:t xml:space="preserve">Чувашской Республики юридическим лицам</w:t>
      </w:r>
    </w:p>
    <w:p>
      <w:pPr>
        <w:pStyle w:val="0"/>
        <w:jc w:val="right"/>
      </w:pPr>
      <w:r>
        <w:rPr>
          <w:sz w:val="24"/>
        </w:rPr>
        <w:t xml:space="preserve">и индивидуальным предпринимателям</w:t>
      </w:r>
    </w:p>
    <w:p>
      <w:pPr>
        <w:pStyle w:val="0"/>
        <w:jc w:val="right"/>
      </w:pPr>
      <w:r>
        <w:rPr>
          <w:sz w:val="24"/>
        </w:rPr>
        <w:t xml:space="preserve">на возмещение части затрат по приобретению</w:t>
      </w:r>
    </w:p>
    <w:p>
      <w:pPr>
        <w:pStyle w:val="0"/>
        <w:jc w:val="right"/>
      </w:pPr>
      <w:r>
        <w:rPr>
          <w:sz w:val="24"/>
        </w:rPr>
        <w:t xml:space="preserve">нового технологического оборудования</w:t>
      </w:r>
    </w:p>
    <w:p>
      <w:pPr>
        <w:pStyle w:val="0"/>
        <w:jc w:val="right"/>
      </w:pPr>
      <w:r>
        <w:rPr>
          <w:sz w:val="24"/>
        </w:rPr>
        <w:t xml:space="preserve">в рамках реализации инвестиционных проектов</w:t>
      </w:r>
    </w:p>
    <w:p>
      <w:pPr>
        <w:pStyle w:val="0"/>
        <w:jc w:val="right"/>
      </w:pPr>
      <w:r>
        <w:rPr>
          <w:sz w:val="24"/>
        </w:rPr>
        <w:t xml:space="preserve">в рамках реализации индивидуальной программы</w:t>
      </w:r>
    </w:p>
    <w:p>
      <w:pPr>
        <w:pStyle w:val="0"/>
        <w:jc w:val="right"/>
      </w:pPr>
      <w:r>
        <w:rPr>
          <w:sz w:val="24"/>
        </w:rPr>
        <w:t xml:space="preserve">социально-экономического развития</w:t>
      </w:r>
    </w:p>
    <w:p>
      <w:pPr>
        <w:pStyle w:val="0"/>
        <w:jc w:val="right"/>
      </w:pPr>
      <w:r>
        <w:rPr>
          <w:sz w:val="24"/>
        </w:rPr>
        <w:t xml:space="preserve">Чувашской Республики</w:t>
      </w:r>
    </w:p>
    <w:p>
      <w:pPr>
        <w:pStyle w:val="0"/>
        <w:jc w:val="both"/>
      </w:pPr>
      <w:r>
        <w:rPr>
          <w:sz w:val="24"/>
        </w:rPr>
      </w:r>
    </w:p>
    <w:bookmarkStart w:id="1261" w:name="P1261"/>
    <w:bookmarkEnd w:id="1261"/>
    <w:p>
      <w:pPr>
        <w:pStyle w:val="1"/>
        <w:jc w:val="both"/>
      </w:pPr>
      <w:r>
        <w:rPr>
          <w:sz w:val="20"/>
        </w:rPr>
        <w:t xml:space="preserve">                          СВОДНАЯ СПРАВКА-РЕЕСТР</w:t>
      </w:r>
    </w:p>
    <w:p>
      <w:pPr>
        <w:pStyle w:val="1"/>
        <w:jc w:val="both"/>
      </w:pPr>
      <w:r>
        <w:rPr>
          <w:sz w:val="20"/>
        </w:rPr>
        <w:t xml:space="preserve">        о причитающихся суммах субсидий из республиканского бюджета</w:t>
      </w:r>
    </w:p>
    <w:p>
      <w:pPr>
        <w:pStyle w:val="1"/>
        <w:jc w:val="both"/>
      </w:pPr>
      <w:r>
        <w:rPr>
          <w:sz w:val="20"/>
        </w:rPr>
        <w:t xml:space="preserve">          Чувашской Республики юридическим лицам и индивидуальным</w:t>
      </w:r>
    </w:p>
    <w:p>
      <w:pPr>
        <w:pStyle w:val="1"/>
        <w:jc w:val="both"/>
      </w:pPr>
      <w:r>
        <w:rPr>
          <w:sz w:val="20"/>
        </w:rPr>
        <w:t xml:space="preserve">        предпринимателям на возмещение части затрат по приобретению</w:t>
      </w:r>
    </w:p>
    <w:p>
      <w:pPr>
        <w:pStyle w:val="1"/>
        <w:jc w:val="both"/>
      </w:pPr>
      <w:r>
        <w:rPr>
          <w:sz w:val="20"/>
        </w:rPr>
        <w:t xml:space="preserve">         нового технологического оборудования в рамках реализации</w:t>
      </w:r>
    </w:p>
    <w:p>
      <w:pPr>
        <w:pStyle w:val="1"/>
        <w:jc w:val="both"/>
      </w:pPr>
      <w:r>
        <w:rPr>
          <w:sz w:val="20"/>
        </w:rPr>
        <w:t xml:space="preserve">   инвестиционных проектов в рамках реализации индивидуальной программы</w:t>
      </w:r>
    </w:p>
    <w:p>
      <w:pPr>
        <w:pStyle w:val="1"/>
        <w:jc w:val="both"/>
      </w:pPr>
      <w:r>
        <w:rPr>
          <w:sz w:val="20"/>
        </w:rPr>
        <w:t xml:space="preserve">          социально-экономического развития Чувашской Республики</w:t>
      </w:r>
    </w:p>
    <w:p>
      <w:pPr>
        <w:pStyle w:val="0"/>
        <w:jc w:val="both"/>
      </w:pPr>
      <w:r>
        <w:rPr>
          <w:sz w:val="24"/>
        </w:rPr>
      </w:r>
    </w:p>
    <w:tbl>
      <w:tblPr>
        <w:tblInd w:w="0" w:type="dxa"/>
        <w:tblLayout w:type="fixed"/>
        <w:tblBorders>
          <w:top w:val="single" w:sz="4"/>
          <w:bottom w:val="single" w:sz="4"/>
          <w:insideV w:val="single" w:sz="4"/>
          <w:insideH w:val="single" w:sz="4"/>
        </w:tblBorders>
        <w:tblCellMar>
          <w:top w:w="102" w:type="dxa"/>
          <w:left w:w="62" w:type="dxa"/>
          <w:bottom w:w="102" w:type="dxa"/>
          <w:right w:w="62" w:type="dxa"/>
        </w:tblCellMar>
      </w:tblPr>
      <w:tblGrid>
        <w:gridCol w:w="2835"/>
        <w:gridCol w:w="619"/>
        <w:gridCol w:w="2608"/>
        <w:gridCol w:w="1924"/>
        <w:gridCol w:w="1084"/>
      </w:tblGrid>
      <w:tr>
        <w:tc>
          <w:tcPr>
            <w:tcW w:w="2835" w:type="dxa"/>
            <w:tcBorders>
              <w:left w:val="nil"/>
            </w:tcBorders>
            <w:vMerge w:val="restart"/>
          </w:tcPr>
          <w:p>
            <w:pPr>
              <w:pStyle w:val="0"/>
              <w:jc w:val="center"/>
            </w:pPr>
            <w:r>
              <w:rPr>
                <w:sz w:val="24"/>
              </w:rPr>
              <w:t xml:space="preserve">Полное наименование юридического лица, фамилия, имя, отчество (последнее - при наличии) индивидуального предпринимателя</w:t>
            </w:r>
          </w:p>
        </w:tc>
        <w:tc>
          <w:tcPr>
            <w:tcW w:w="619" w:type="dxa"/>
            <w:vMerge w:val="restart"/>
          </w:tcPr>
          <w:p>
            <w:pPr>
              <w:pStyle w:val="0"/>
              <w:jc w:val="center"/>
            </w:pPr>
            <w:r>
              <w:rPr>
                <w:sz w:val="24"/>
              </w:rPr>
              <w:t xml:space="preserve">ИНН</w:t>
            </w:r>
          </w:p>
        </w:tc>
        <w:tc>
          <w:tcPr>
            <w:tcW w:w="2608" w:type="dxa"/>
            <w:vMerge w:val="restart"/>
          </w:tcPr>
          <w:p>
            <w:pPr>
              <w:pStyle w:val="0"/>
              <w:jc w:val="center"/>
            </w:pPr>
            <w:r>
              <w:rPr>
                <w:sz w:val="24"/>
              </w:rPr>
              <w:t xml:space="preserve">Место осуществления деятельности (муниципальный округ, городской округ Чувашской Республики)</w:t>
            </w:r>
          </w:p>
        </w:tc>
        <w:tc>
          <w:tcPr>
            <w:tcW w:w="1924" w:type="dxa"/>
            <w:vMerge w:val="restart"/>
          </w:tcPr>
          <w:p>
            <w:pPr>
              <w:pStyle w:val="0"/>
              <w:jc w:val="center"/>
            </w:pPr>
            <w:r>
              <w:rPr>
                <w:sz w:val="24"/>
              </w:rPr>
              <w:t xml:space="preserve">Стоимость нового технологического оборудования, рублей</w:t>
            </w:r>
          </w:p>
        </w:tc>
        <w:tc>
          <w:tcPr>
            <w:tcW w:w="1084" w:type="dxa"/>
            <w:tcBorders>
              <w:right w:val="nil"/>
            </w:tcBorders>
          </w:tcPr>
          <w:p>
            <w:pPr>
              <w:pStyle w:val="0"/>
              <w:jc w:val="center"/>
            </w:pPr>
            <w:r>
              <w:rPr>
                <w:sz w:val="24"/>
              </w:rPr>
              <w:t xml:space="preserve">Сумма субсидии к выплате, рублей</w:t>
            </w:r>
          </w:p>
        </w:tc>
      </w:tr>
      <w:tr>
        <w:tc>
          <w:tcPr>
            <w:tcBorders>
              <w:left w:val="nil"/>
            </w:tcBorders>
            <w:vMerge w:val="continue"/>
          </w:tcPr>
          <w:p/>
        </w:tc>
        <w:tc>
          <w:tcPr>
            <w:vMerge w:val="continue"/>
          </w:tcPr>
          <w:p/>
        </w:tc>
        <w:tc>
          <w:tcPr>
            <w:vMerge w:val="continue"/>
          </w:tcPr>
          <w:p/>
        </w:tc>
        <w:tc>
          <w:tcPr>
            <w:vMerge w:val="continue"/>
          </w:tcPr>
          <w:p/>
        </w:tc>
        <w:tc>
          <w:tcPr>
            <w:tcW w:w="1084" w:type="dxa"/>
            <w:tcBorders>
              <w:right w:val="nil"/>
            </w:tcBorders>
          </w:tcPr>
          <w:p>
            <w:pPr>
              <w:pStyle w:val="0"/>
            </w:pPr>
            <w:r>
              <w:rPr>
                <w:sz w:val="24"/>
              </w:rPr>
            </w:r>
          </w:p>
        </w:tc>
      </w:tr>
      <w:tr>
        <w:tc>
          <w:tcPr>
            <w:tcW w:w="2835" w:type="dxa"/>
            <w:tcBorders>
              <w:left w:val="nil"/>
            </w:tcBorders>
          </w:tcPr>
          <w:p>
            <w:pPr>
              <w:pStyle w:val="0"/>
              <w:jc w:val="center"/>
            </w:pPr>
            <w:r>
              <w:rPr>
                <w:sz w:val="24"/>
              </w:rPr>
              <w:t xml:space="preserve">1</w:t>
            </w:r>
          </w:p>
        </w:tc>
        <w:tc>
          <w:tcPr>
            <w:tcW w:w="619" w:type="dxa"/>
          </w:tcPr>
          <w:p>
            <w:pPr>
              <w:pStyle w:val="0"/>
              <w:jc w:val="center"/>
            </w:pPr>
            <w:r>
              <w:rPr>
                <w:sz w:val="24"/>
              </w:rPr>
              <w:t xml:space="preserve">2</w:t>
            </w:r>
          </w:p>
        </w:tc>
        <w:tc>
          <w:tcPr>
            <w:tcW w:w="2608" w:type="dxa"/>
          </w:tcPr>
          <w:p>
            <w:pPr>
              <w:pStyle w:val="0"/>
              <w:jc w:val="center"/>
            </w:pPr>
            <w:r>
              <w:rPr>
                <w:sz w:val="24"/>
              </w:rPr>
              <w:t xml:space="preserve">3</w:t>
            </w:r>
          </w:p>
        </w:tc>
        <w:tc>
          <w:tcPr>
            <w:tcW w:w="1924" w:type="dxa"/>
          </w:tcPr>
          <w:p>
            <w:pPr>
              <w:pStyle w:val="0"/>
              <w:jc w:val="center"/>
            </w:pPr>
            <w:r>
              <w:rPr>
                <w:sz w:val="24"/>
              </w:rPr>
              <w:t xml:space="preserve">4</w:t>
            </w:r>
          </w:p>
        </w:tc>
        <w:tc>
          <w:tcPr>
            <w:tcW w:w="1084" w:type="dxa"/>
            <w:tcBorders>
              <w:right w:val="nil"/>
            </w:tcBorders>
          </w:tcPr>
          <w:p>
            <w:pPr>
              <w:pStyle w:val="0"/>
              <w:jc w:val="center"/>
            </w:pPr>
            <w:r>
              <w:rPr>
                <w:sz w:val="24"/>
              </w:rPr>
              <w:t xml:space="preserve">5</w:t>
            </w:r>
          </w:p>
        </w:tc>
      </w:tr>
      <w:tr>
        <w:tc>
          <w:tcPr>
            <w:tcW w:w="2835" w:type="dxa"/>
            <w:tcBorders>
              <w:left w:val="nil"/>
            </w:tcBorders>
          </w:tcPr>
          <w:p>
            <w:pPr>
              <w:pStyle w:val="0"/>
            </w:pPr>
            <w:r>
              <w:rPr>
                <w:sz w:val="24"/>
              </w:rPr>
            </w:r>
          </w:p>
        </w:tc>
        <w:tc>
          <w:tcPr>
            <w:tcW w:w="619" w:type="dxa"/>
          </w:tcPr>
          <w:p>
            <w:pPr>
              <w:pStyle w:val="0"/>
            </w:pPr>
            <w:r>
              <w:rPr>
                <w:sz w:val="24"/>
              </w:rPr>
            </w:r>
          </w:p>
        </w:tc>
        <w:tc>
          <w:tcPr>
            <w:tcW w:w="2608" w:type="dxa"/>
          </w:tcPr>
          <w:p>
            <w:pPr>
              <w:pStyle w:val="0"/>
            </w:pPr>
            <w:r>
              <w:rPr>
                <w:sz w:val="24"/>
              </w:rPr>
            </w:r>
          </w:p>
        </w:tc>
        <w:tc>
          <w:tcPr>
            <w:tcW w:w="1924" w:type="dxa"/>
          </w:tcPr>
          <w:p>
            <w:pPr>
              <w:pStyle w:val="0"/>
            </w:pPr>
            <w:r>
              <w:rPr>
                <w:sz w:val="24"/>
              </w:rPr>
            </w:r>
          </w:p>
        </w:tc>
        <w:tc>
          <w:tcPr>
            <w:tcW w:w="1084" w:type="dxa"/>
            <w:tcBorders>
              <w:right w:val="nil"/>
            </w:tcBorders>
          </w:tcPr>
          <w:p>
            <w:pPr>
              <w:pStyle w:val="0"/>
            </w:pPr>
            <w:r>
              <w:rPr>
                <w:sz w:val="24"/>
              </w:rPr>
            </w:r>
          </w:p>
        </w:tc>
      </w:tr>
      <w:tr>
        <w:tc>
          <w:tcPr>
            <w:tcW w:w="2835" w:type="dxa"/>
            <w:tcBorders>
              <w:left w:val="nil"/>
            </w:tcBorders>
          </w:tcPr>
          <w:p>
            <w:pPr>
              <w:pStyle w:val="0"/>
            </w:pPr>
            <w:r>
              <w:rPr>
                <w:sz w:val="24"/>
              </w:rPr>
            </w:r>
          </w:p>
        </w:tc>
        <w:tc>
          <w:tcPr>
            <w:tcW w:w="619" w:type="dxa"/>
          </w:tcPr>
          <w:p>
            <w:pPr>
              <w:pStyle w:val="0"/>
            </w:pPr>
            <w:r>
              <w:rPr>
                <w:sz w:val="24"/>
              </w:rPr>
            </w:r>
          </w:p>
        </w:tc>
        <w:tc>
          <w:tcPr>
            <w:tcW w:w="2608" w:type="dxa"/>
          </w:tcPr>
          <w:p>
            <w:pPr>
              <w:pStyle w:val="0"/>
            </w:pPr>
            <w:r>
              <w:rPr>
                <w:sz w:val="24"/>
              </w:rPr>
            </w:r>
          </w:p>
        </w:tc>
        <w:tc>
          <w:tcPr>
            <w:tcW w:w="1924" w:type="dxa"/>
          </w:tcPr>
          <w:p>
            <w:pPr>
              <w:pStyle w:val="0"/>
            </w:pPr>
            <w:r>
              <w:rPr>
                <w:sz w:val="24"/>
              </w:rPr>
            </w:r>
          </w:p>
        </w:tc>
        <w:tc>
          <w:tcPr>
            <w:tcW w:w="1084" w:type="dxa"/>
            <w:tcBorders>
              <w:right w:val="nil"/>
            </w:tcBorders>
          </w:tcPr>
          <w:p>
            <w:pPr>
              <w:pStyle w:val="0"/>
            </w:pPr>
            <w:r>
              <w:rPr>
                <w:sz w:val="24"/>
              </w:rPr>
            </w:r>
          </w:p>
        </w:tc>
      </w:tr>
      <w:tr>
        <w:tc>
          <w:tcPr>
            <w:tcW w:w="2835" w:type="dxa"/>
            <w:tcBorders>
              <w:left w:val="nil"/>
            </w:tcBorders>
          </w:tcPr>
          <w:p>
            <w:pPr>
              <w:pStyle w:val="0"/>
              <w:jc w:val="center"/>
            </w:pPr>
            <w:r>
              <w:rPr>
                <w:sz w:val="24"/>
              </w:rPr>
              <w:t xml:space="preserve">Итого</w:t>
            </w:r>
          </w:p>
        </w:tc>
        <w:tc>
          <w:tcPr>
            <w:tcW w:w="619" w:type="dxa"/>
          </w:tcPr>
          <w:p>
            <w:pPr>
              <w:pStyle w:val="0"/>
              <w:jc w:val="center"/>
            </w:pPr>
            <w:r>
              <w:rPr>
                <w:sz w:val="24"/>
              </w:rPr>
              <w:t xml:space="preserve">x</w:t>
            </w:r>
          </w:p>
        </w:tc>
        <w:tc>
          <w:tcPr>
            <w:tcW w:w="2608" w:type="dxa"/>
          </w:tcPr>
          <w:p>
            <w:pPr>
              <w:pStyle w:val="0"/>
              <w:jc w:val="center"/>
            </w:pPr>
            <w:r>
              <w:rPr>
                <w:sz w:val="24"/>
              </w:rPr>
              <w:t xml:space="preserve">x</w:t>
            </w:r>
          </w:p>
        </w:tc>
        <w:tc>
          <w:tcPr>
            <w:tcW w:w="1924" w:type="dxa"/>
          </w:tcPr>
          <w:p>
            <w:pPr>
              <w:pStyle w:val="0"/>
            </w:pPr>
            <w:r>
              <w:rPr>
                <w:sz w:val="24"/>
              </w:rPr>
            </w:r>
          </w:p>
        </w:tc>
        <w:tc>
          <w:tcPr>
            <w:tcW w:w="1084" w:type="dxa"/>
            <w:tcBorders>
              <w:right w:val="nil"/>
            </w:tcBorders>
          </w:tcPr>
          <w:p>
            <w:pPr>
              <w:pStyle w:val="0"/>
            </w:pPr>
            <w:r>
              <w:rPr>
                <w:sz w:val="24"/>
              </w:rPr>
            </w:r>
          </w:p>
        </w:tc>
      </w:tr>
    </w:tbl>
    <w:p>
      <w:pPr>
        <w:pStyle w:val="0"/>
        <w:jc w:val="both"/>
      </w:pPr>
      <w:r>
        <w:rPr>
          <w:sz w:val="24"/>
        </w:rPr>
      </w:r>
    </w:p>
    <w:p>
      <w:pPr>
        <w:pStyle w:val="1"/>
        <w:jc w:val="both"/>
      </w:pPr>
      <w:r>
        <w:rPr>
          <w:sz w:val="20"/>
        </w:rPr>
        <w:t xml:space="preserve">Министр</w:t>
      </w:r>
    </w:p>
    <w:p>
      <w:pPr>
        <w:pStyle w:val="1"/>
        <w:jc w:val="both"/>
      </w:pPr>
      <w:r>
        <w:rPr>
          <w:sz w:val="20"/>
        </w:rPr>
        <w:t xml:space="preserve">промышленности и энергетики</w:t>
      </w:r>
    </w:p>
    <w:p>
      <w:pPr>
        <w:pStyle w:val="1"/>
        <w:jc w:val="both"/>
      </w:pPr>
      <w:r>
        <w:rPr>
          <w:sz w:val="20"/>
        </w:rPr>
        <w:t xml:space="preserve">Чувашской Республики</w:t>
      </w:r>
    </w:p>
    <w:p>
      <w:pPr>
        <w:pStyle w:val="1"/>
        <w:jc w:val="both"/>
      </w:pPr>
      <w:r>
        <w:rPr>
          <w:sz w:val="20"/>
        </w:rPr>
        <w:t xml:space="preserve">(уполномоченное им лицо)       _________________    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Исполнитель:</w:t>
      </w:r>
    </w:p>
    <w:p>
      <w:pPr>
        <w:pStyle w:val="1"/>
        <w:jc w:val="both"/>
      </w:pPr>
      <w:r>
        <w:rPr>
          <w:sz w:val="20"/>
        </w:rPr>
        <w:t xml:space="preserve">Специалист Министерства</w:t>
      </w:r>
    </w:p>
    <w:p>
      <w:pPr>
        <w:pStyle w:val="1"/>
        <w:jc w:val="both"/>
      </w:pPr>
      <w:r>
        <w:rPr>
          <w:sz w:val="20"/>
        </w:rPr>
        <w:t xml:space="preserve">промышленности и энергетики</w:t>
      </w:r>
    </w:p>
    <w:p>
      <w:pPr>
        <w:pStyle w:val="1"/>
        <w:jc w:val="both"/>
      </w:pPr>
      <w:r>
        <w:rPr>
          <w:sz w:val="20"/>
        </w:rPr>
        <w:t xml:space="preserve">Чувашской Республики           _________________    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___ 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w:t>
      </w:r>
    </w:p>
    <w:p>
      <w:pPr>
        <w:pStyle w:val="0"/>
        <w:jc w:val="right"/>
      </w:pPr>
      <w:r>
        <w:rPr>
          <w:sz w:val="24"/>
        </w:rPr>
        <w:t xml:space="preserve">Кабинета Министров</w:t>
      </w:r>
    </w:p>
    <w:p>
      <w:pPr>
        <w:pStyle w:val="0"/>
        <w:jc w:val="right"/>
      </w:pPr>
      <w:r>
        <w:rPr>
          <w:sz w:val="24"/>
        </w:rPr>
        <w:t xml:space="preserve">Чувашской Республики</w:t>
      </w:r>
    </w:p>
    <w:p>
      <w:pPr>
        <w:pStyle w:val="0"/>
        <w:jc w:val="right"/>
      </w:pPr>
      <w:r>
        <w:rPr>
          <w:sz w:val="24"/>
        </w:rPr>
        <w:t xml:space="preserve">от 19.05.2025 N 284</w:t>
      </w:r>
    </w:p>
    <w:p>
      <w:pPr>
        <w:pStyle w:val="0"/>
        <w:jc w:val="right"/>
      </w:pPr>
      <w:r>
        <w:rPr>
          <w:sz w:val="24"/>
        </w:rPr>
        <w:t xml:space="preserve">(приложение N 2)</w:t>
      </w:r>
    </w:p>
    <w:p>
      <w:pPr>
        <w:pStyle w:val="0"/>
        <w:jc w:val="both"/>
      </w:pPr>
      <w:r>
        <w:rPr>
          <w:sz w:val="24"/>
        </w:rPr>
      </w:r>
    </w:p>
    <w:bookmarkStart w:id="1321" w:name="P1321"/>
    <w:bookmarkEnd w:id="1321"/>
    <w:p>
      <w:pPr>
        <w:pStyle w:val="2"/>
        <w:jc w:val="center"/>
      </w:pPr>
      <w:r>
        <w:rPr>
          <w:sz w:val="24"/>
        </w:rPr>
        <w:t xml:space="preserve">ПОЛОЖЕНИЕ</w:t>
      </w:r>
    </w:p>
    <w:p>
      <w:pPr>
        <w:pStyle w:val="2"/>
        <w:jc w:val="center"/>
      </w:pPr>
      <w:r>
        <w:rPr>
          <w:sz w:val="24"/>
        </w:rPr>
        <w:t xml:space="preserve">О КОМИССИИ ПО ПРОВЕДЕНИЮ ОТБОРА НА ПРЕДОСТАВЛЕНИЕ СУБСИДИЙ</w:t>
      </w:r>
    </w:p>
    <w:p>
      <w:pPr>
        <w:pStyle w:val="2"/>
        <w:jc w:val="center"/>
      </w:pPr>
      <w:r>
        <w:rPr>
          <w:sz w:val="24"/>
        </w:rPr>
        <w:t xml:space="preserve">ИЗ РЕСПУБЛИКАНСКОГО БЮДЖЕТА ЧУВАШСКОЙ РЕСПУБЛИКИ ЮРИДИЧЕСКИМ</w:t>
      </w:r>
    </w:p>
    <w:p>
      <w:pPr>
        <w:pStyle w:val="2"/>
        <w:jc w:val="center"/>
      </w:pPr>
      <w:r>
        <w:rPr>
          <w:sz w:val="24"/>
        </w:rPr>
        <w:t xml:space="preserve">ЛИЦАМ И ИНДИВИДУАЛЬНЫМ ПРЕДПРИНИМАТЕЛЯМ НА ВОЗМЕЩЕНИЕ ЧАСТИ</w:t>
      </w:r>
    </w:p>
    <w:p>
      <w:pPr>
        <w:pStyle w:val="2"/>
        <w:jc w:val="center"/>
      </w:pPr>
      <w:r>
        <w:rPr>
          <w:sz w:val="24"/>
        </w:rPr>
        <w:t xml:space="preserve">ЗАТРАТ ПО ПРИОБРЕТЕНИЮ НОВОГО ТЕХНОЛОГИЧЕСКОГО ОБОРУДОВАНИЯ</w:t>
      </w:r>
    </w:p>
    <w:p>
      <w:pPr>
        <w:pStyle w:val="2"/>
        <w:jc w:val="center"/>
      </w:pPr>
      <w:r>
        <w:rPr>
          <w:sz w:val="24"/>
        </w:rPr>
        <w:t xml:space="preserve">В РАМКАХ РЕАЛИЗАЦИИ ИНВЕСТИЦИОННЫХ ПРОЕКТОВ В РАМКАХ</w:t>
      </w:r>
    </w:p>
    <w:p>
      <w:pPr>
        <w:pStyle w:val="2"/>
        <w:jc w:val="center"/>
      </w:pPr>
      <w:r>
        <w:rPr>
          <w:sz w:val="24"/>
        </w:rPr>
        <w:t xml:space="preserve">РЕАЛИЗАЦИИ ИНДИВИДУАЛЬНОЙ ПРОГРАММЫ СОЦИАЛЬНО-ЭКОНОМИЧЕСКОГО</w:t>
      </w:r>
    </w:p>
    <w:p>
      <w:pPr>
        <w:pStyle w:val="2"/>
        <w:jc w:val="center"/>
      </w:pPr>
      <w:r>
        <w:rPr>
          <w:sz w:val="24"/>
        </w:rPr>
        <w:t xml:space="preserve">РАЗВИТИЯ ЧУВАШСКОЙ РЕСПУБЛИКИ</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1.1. Настоящее Положение определяет порядок деятельности Комиссии по проведению отбора на предоставление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(далее - Комиссия).</w:t>
      </w:r>
    </w:p>
    <w:p>
      <w:pPr>
        <w:pStyle w:val="0"/>
        <w:spacing w:before="240" w:lineRule="auto"/>
        <w:ind w:firstLine="540"/>
        <w:jc w:val="both"/>
      </w:pPr>
      <w:r>
        <w:rPr>
          <w:sz w:val="24"/>
        </w:rPr>
        <w:t xml:space="preserve">1.2. Комиссия руководствуется в своей деятельности </w:t>
      </w:r>
      <w:hyperlink w:history="0" r:id="rId1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и иными нормативными правовыми актами Российской Федерации, </w:t>
      </w:r>
      <w:hyperlink w:history="0" r:id="rId105" w:tooltip="Конституция Чувашской Республики (принята ГС ЧР 30.11.2000) (ред. от 14.06.2024) {КонсультантПлюс}">
        <w:r>
          <w:rPr>
            <w:sz w:val="24"/>
            <w:color w:val="0000ff"/>
          </w:rPr>
          <w:t xml:space="preserve">Конституцией</w:t>
        </w:r>
      </w:hyperlink>
      <w:r>
        <w:rPr>
          <w:sz w:val="24"/>
        </w:rPr>
        <w:t xml:space="preserve"> Чувашской Республики, законами Чувашской Республики и иными нормативными правовыми актами Чувашской Республики, а также настоящим Положением.</w:t>
      </w:r>
    </w:p>
    <w:p>
      <w:pPr>
        <w:pStyle w:val="0"/>
        <w:jc w:val="both"/>
      </w:pPr>
      <w:r>
        <w:rPr>
          <w:sz w:val="24"/>
        </w:rPr>
      </w:r>
    </w:p>
    <w:p>
      <w:pPr>
        <w:pStyle w:val="2"/>
        <w:outlineLvl w:val="1"/>
        <w:jc w:val="center"/>
      </w:pPr>
      <w:r>
        <w:rPr>
          <w:sz w:val="24"/>
        </w:rPr>
        <w:t xml:space="preserve">II. Задача и функции Комиссии</w:t>
      </w:r>
    </w:p>
    <w:p>
      <w:pPr>
        <w:pStyle w:val="0"/>
        <w:jc w:val="both"/>
      </w:pPr>
      <w:r>
        <w:rPr>
          <w:sz w:val="24"/>
        </w:rPr>
      </w:r>
    </w:p>
    <w:p>
      <w:pPr>
        <w:pStyle w:val="0"/>
        <w:ind w:firstLine="540"/>
        <w:jc w:val="both"/>
      </w:pPr>
      <w:r>
        <w:rPr>
          <w:sz w:val="24"/>
        </w:rPr>
        <w:t xml:space="preserve">2.1. Задачей Комиссии является решение вопросов, связанных с предоставлением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w:t>
      </w:r>
    </w:p>
    <w:p>
      <w:pPr>
        <w:pStyle w:val="0"/>
        <w:spacing w:before="240" w:lineRule="auto"/>
        <w:ind w:firstLine="540"/>
        <w:jc w:val="both"/>
      </w:pPr>
      <w:r>
        <w:rPr>
          <w:sz w:val="24"/>
        </w:rPr>
        <w:t xml:space="preserve">2.2. Комиссия осуществляет следующие функции:</w:t>
      </w:r>
    </w:p>
    <w:p>
      <w:pPr>
        <w:pStyle w:val="0"/>
        <w:spacing w:before="240" w:lineRule="auto"/>
        <w:ind w:firstLine="540"/>
        <w:jc w:val="both"/>
      </w:pPr>
      <w:r>
        <w:rPr>
          <w:sz w:val="24"/>
        </w:rPr>
        <w:t xml:space="preserve">объективная оценка заявок, представленных на участие в конкурсном отборе претендентов на получение субсидий из республиканского бюджета Чувашской Республики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(далее также соответственно - претендент, конкурсный отбор), в соответствии с Правилами предоставления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(далее соответственно - субсидия, Правила предоставления субсидии), утвержденными постановлением Кабинета Министров Чувашской Республики, в рамках реализации государственной </w:t>
      </w:r>
      <w:hyperlink w:history="0" r:id="rId106" w:tooltip="Постановление Кабинета Министров ЧР от 05.12.2018 N 496 (ред. от 26.05.2026) &quot;О государственной программе Чувашской Республики &quot;Экономическое развитие Чувашской Республики&quot; {КонсультантПлюс}">
        <w:r>
          <w:rPr>
            <w:sz w:val="24"/>
            <w:color w:val="0000ff"/>
          </w:rPr>
          <w:t xml:space="preserve">программы</w:t>
        </w:r>
      </w:hyperlink>
      <w:r>
        <w:rPr>
          <w:sz w:val="24"/>
        </w:rPr>
        <w:t xml:space="preserve"> Чувашской Республики "Экономическое развитие Чувашской Республики", утвержденной постановлением Кабинета Министров Чувашской Республики от 5 декабря 2018 г. N 496;</w:t>
      </w:r>
    </w:p>
    <w:p>
      <w:pPr>
        <w:pStyle w:val="0"/>
        <w:spacing w:before="240" w:lineRule="auto"/>
        <w:ind w:firstLine="540"/>
        <w:jc w:val="both"/>
      </w:pPr>
      <w:r>
        <w:rPr>
          <w:sz w:val="24"/>
        </w:rPr>
        <w:t xml:space="preserve">принятие решения о предоставлении субсидии претенденту либо об отказе в ее предоставлении.</w:t>
      </w:r>
    </w:p>
    <w:p>
      <w:pPr>
        <w:pStyle w:val="0"/>
        <w:jc w:val="both"/>
      </w:pPr>
      <w:r>
        <w:rPr>
          <w:sz w:val="24"/>
        </w:rPr>
      </w:r>
    </w:p>
    <w:p>
      <w:pPr>
        <w:pStyle w:val="2"/>
        <w:outlineLvl w:val="1"/>
        <w:jc w:val="center"/>
      </w:pPr>
      <w:r>
        <w:rPr>
          <w:sz w:val="24"/>
        </w:rPr>
        <w:t xml:space="preserve">III. Организация деятельности Комиссии</w:t>
      </w:r>
    </w:p>
    <w:p>
      <w:pPr>
        <w:pStyle w:val="0"/>
        <w:jc w:val="both"/>
      </w:pPr>
      <w:r>
        <w:rPr>
          <w:sz w:val="24"/>
        </w:rPr>
      </w:r>
    </w:p>
    <w:p>
      <w:pPr>
        <w:pStyle w:val="0"/>
        <w:ind w:firstLine="540"/>
        <w:jc w:val="both"/>
      </w:pPr>
      <w:r>
        <w:rPr>
          <w:sz w:val="24"/>
        </w:rPr>
        <w:t xml:space="preserve">3.1. Состав Комиссии утверждается распоряжением Кабинета Министров Чувашской Республики по предложению Министерства промышленности и энергетики Чувашской Республики.</w:t>
      </w:r>
    </w:p>
    <w:p>
      <w:pPr>
        <w:pStyle w:val="0"/>
        <w:spacing w:before="240" w:lineRule="auto"/>
        <w:ind w:firstLine="540"/>
        <w:jc w:val="both"/>
      </w:pPr>
      <w:r>
        <w:rPr>
          <w:sz w:val="24"/>
        </w:rPr>
        <w:t xml:space="preserve">3.2. В состав Комиссии входят председатель Комиссии, заместитель председателя Комиссии, секретарь Комиссии и члены Комиссии.</w:t>
      </w:r>
    </w:p>
    <w:p>
      <w:pPr>
        <w:pStyle w:val="0"/>
        <w:spacing w:before="240" w:lineRule="auto"/>
        <w:ind w:firstLine="540"/>
        <w:jc w:val="both"/>
      </w:pPr>
      <w:r>
        <w:rPr>
          <w:sz w:val="24"/>
        </w:rPr>
        <w:t xml:space="preserve">Для участия в работе Комиссии могут приглашаться независимые эксперты.</w:t>
      </w:r>
    </w:p>
    <w:p>
      <w:pPr>
        <w:pStyle w:val="0"/>
        <w:spacing w:before="240" w:lineRule="auto"/>
        <w:ind w:firstLine="540"/>
        <w:jc w:val="both"/>
      </w:pPr>
      <w:r>
        <w:rPr>
          <w:sz w:val="24"/>
        </w:rPr>
        <w:t xml:space="preserve">3.3. В состав Комиссии включаются представители исполнительных органов Чувашской Республики, по согласованию представители иных государственных органов Чувашской Республики (не более половины состава Комиссии), юридические лица, относящиеся к субъектам деятельности в сфере промышленности, а также могут быть включены по согласованию представители кредитных, научных, образовательных, консультационных, консалтинговых, аудиторских и общественных организаций.</w:t>
      </w:r>
    </w:p>
    <w:p>
      <w:pPr>
        <w:pStyle w:val="0"/>
        <w:spacing w:before="240" w:lineRule="auto"/>
        <w:ind w:firstLine="540"/>
        <w:jc w:val="both"/>
      </w:pPr>
      <w:r>
        <w:rPr>
          <w:sz w:val="24"/>
        </w:rPr>
        <w:t xml:space="preserve">3.4. Заседание Комиссии считается правомочным, если на нем присутствует не менее двух третей ее членов.</w:t>
      </w:r>
    </w:p>
    <w:p>
      <w:pPr>
        <w:pStyle w:val="0"/>
        <w:spacing w:before="240" w:lineRule="auto"/>
        <w:ind w:firstLine="540"/>
        <w:jc w:val="both"/>
      </w:pPr>
      <w:r>
        <w:rPr>
          <w:sz w:val="24"/>
        </w:rPr>
        <w:t xml:space="preserve">В случае возникновения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данном случае соответствующий член Комиссии не принимает участия в рассмотрении указанного вопроса.</w:t>
      </w:r>
    </w:p>
    <w:p>
      <w:pPr>
        <w:pStyle w:val="0"/>
        <w:spacing w:before="240" w:lineRule="auto"/>
        <w:ind w:firstLine="540"/>
        <w:jc w:val="both"/>
      </w:pPr>
      <w:r>
        <w:rPr>
          <w:sz w:val="24"/>
        </w:rPr>
        <w:t xml:space="preserve">Замена члена Комиссии производится на основании распоряжения Кабинета Министров Чувашской Республики.</w:t>
      </w:r>
    </w:p>
    <w:p>
      <w:pPr>
        <w:pStyle w:val="0"/>
        <w:spacing w:before="240" w:lineRule="auto"/>
        <w:ind w:firstLine="540"/>
        <w:jc w:val="both"/>
      </w:pPr>
      <w:r>
        <w:rPr>
          <w:sz w:val="24"/>
        </w:rPr>
        <w:t xml:space="preserve">3.5. Председатель Комиссии:</w:t>
      </w:r>
    </w:p>
    <w:p>
      <w:pPr>
        <w:pStyle w:val="0"/>
        <w:spacing w:before="240" w:lineRule="auto"/>
        <w:ind w:firstLine="540"/>
        <w:jc w:val="both"/>
      </w:pPr>
      <w:r>
        <w:rPr>
          <w:sz w:val="24"/>
        </w:rPr>
        <w:t xml:space="preserve">осуществляет общее руководство работой Комиссии;</w:t>
      </w:r>
    </w:p>
    <w:p>
      <w:pPr>
        <w:pStyle w:val="0"/>
        <w:spacing w:before="240" w:lineRule="auto"/>
        <w:ind w:firstLine="540"/>
        <w:jc w:val="both"/>
      </w:pPr>
      <w:r>
        <w:rPr>
          <w:sz w:val="24"/>
        </w:rPr>
        <w:t xml:space="preserve">объявляет заседание Комиссии правомочным или выносит решение о его переносе из-за отсутствия необходимого количества членов Комиссии;</w:t>
      </w:r>
    </w:p>
    <w:p>
      <w:pPr>
        <w:pStyle w:val="0"/>
        <w:spacing w:before="240" w:lineRule="auto"/>
        <w:ind w:firstLine="540"/>
        <w:jc w:val="both"/>
      </w:pPr>
      <w:r>
        <w:rPr>
          <w:sz w:val="24"/>
        </w:rPr>
        <w:t xml:space="preserve">утверждает повестку дня заседания и ведет заседание Комиссии;</w:t>
      </w:r>
    </w:p>
    <w:p>
      <w:pPr>
        <w:pStyle w:val="0"/>
        <w:spacing w:before="240" w:lineRule="auto"/>
        <w:ind w:firstLine="540"/>
        <w:jc w:val="both"/>
      </w:pPr>
      <w:r>
        <w:rPr>
          <w:sz w:val="24"/>
        </w:rPr>
        <w:t xml:space="preserve">в случае необходимости выносит на рассмотрение Комиссии вопрос о привлечении к работе независимых экспертов.</w:t>
      </w:r>
    </w:p>
    <w:p>
      <w:pPr>
        <w:pStyle w:val="0"/>
        <w:spacing w:before="240" w:lineRule="auto"/>
        <w:ind w:firstLine="540"/>
        <w:jc w:val="both"/>
      </w:pPr>
      <w:r>
        <w:rPr>
          <w:sz w:val="24"/>
        </w:rPr>
        <w:t xml:space="preserve">3.6. В период временного отсутствия председателя Комиссии его обязанности исполняет заместитель председателя Комиссии.</w:t>
      </w:r>
    </w:p>
    <w:p>
      <w:pPr>
        <w:pStyle w:val="0"/>
        <w:spacing w:before="240" w:lineRule="auto"/>
        <w:ind w:firstLine="540"/>
        <w:jc w:val="both"/>
      </w:pPr>
      <w:r>
        <w:rPr>
          <w:sz w:val="24"/>
        </w:rPr>
        <w:t xml:space="preserve">3.7. Секретарь Комиссии:</w:t>
      </w:r>
    </w:p>
    <w:p>
      <w:pPr>
        <w:pStyle w:val="0"/>
        <w:spacing w:before="240" w:lineRule="auto"/>
        <w:ind w:firstLine="540"/>
        <w:jc w:val="both"/>
      </w:pPr>
      <w:r>
        <w:rPr>
          <w:sz w:val="24"/>
        </w:rPr>
        <w:t xml:space="preserve">обеспечивает подготовку и направление материалов к заседанию Комиссии;</w:t>
      </w:r>
    </w:p>
    <w:p>
      <w:pPr>
        <w:pStyle w:val="0"/>
        <w:spacing w:before="240" w:lineRule="auto"/>
        <w:ind w:firstLine="540"/>
        <w:jc w:val="both"/>
      </w:pPr>
      <w:r>
        <w:rPr>
          <w:sz w:val="24"/>
        </w:rPr>
        <w:t xml:space="preserve">формирует проект повестки дня заседания Комиссии;</w:t>
      </w:r>
    </w:p>
    <w:p>
      <w:pPr>
        <w:pStyle w:val="0"/>
        <w:spacing w:before="240" w:lineRule="auto"/>
        <w:ind w:firstLine="540"/>
        <w:jc w:val="both"/>
      </w:pPr>
      <w:r>
        <w:rPr>
          <w:sz w:val="24"/>
        </w:rPr>
        <w:t xml:space="preserve">информирует членов Комиссии о ее заседаниях;</w:t>
      </w:r>
    </w:p>
    <w:p>
      <w:pPr>
        <w:pStyle w:val="0"/>
        <w:spacing w:before="240" w:lineRule="auto"/>
        <w:ind w:firstLine="540"/>
        <w:jc w:val="both"/>
      </w:pPr>
      <w:r>
        <w:rPr>
          <w:sz w:val="24"/>
        </w:rPr>
        <w:t xml:space="preserve">формирует протоколы заседаний Комиссии.</w:t>
      </w:r>
    </w:p>
    <w:p>
      <w:pPr>
        <w:pStyle w:val="0"/>
        <w:spacing w:before="240" w:lineRule="auto"/>
        <w:ind w:firstLine="540"/>
        <w:jc w:val="both"/>
      </w:pPr>
      <w:r>
        <w:rPr>
          <w:sz w:val="24"/>
        </w:rPr>
        <w:t xml:space="preserve">3.8. Члены Комиссии:</w:t>
      </w:r>
    </w:p>
    <w:p>
      <w:pPr>
        <w:pStyle w:val="0"/>
        <w:spacing w:before="240" w:lineRule="auto"/>
        <w:ind w:firstLine="540"/>
        <w:jc w:val="both"/>
      </w:pPr>
      <w:r>
        <w:rPr>
          <w:sz w:val="24"/>
        </w:rPr>
        <w:t xml:space="preserve">присутствуют на заседаниях Комиссии и принимают решения по вопросам, отнесенным к ее компетенции;</w:t>
      </w:r>
    </w:p>
    <w:p>
      <w:pPr>
        <w:pStyle w:val="0"/>
        <w:spacing w:before="240" w:lineRule="auto"/>
        <w:ind w:firstLine="540"/>
        <w:jc w:val="both"/>
      </w:pPr>
      <w:r>
        <w:rPr>
          <w:sz w:val="24"/>
        </w:rPr>
        <w:t xml:space="preserve">осуществляют рассмотрение и оценку представленных для участия в конкурсном отборе заявок;</w:t>
      </w:r>
    </w:p>
    <w:p>
      <w:pPr>
        <w:pStyle w:val="0"/>
        <w:spacing w:before="240" w:lineRule="auto"/>
        <w:ind w:firstLine="540"/>
        <w:jc w:val="both"/>
      </w:pPr>
      <w:r>
        <w:rPr>
          <w:sz w:val="24"/>
        </w:rPr>
        <w:t xml:space="preserve">принимают участие в определении победителей конкурсного отбора и размеров предоставляемых им субсидий;</w:t>
      </w:r>
    </w:p>
    <w:p>
      <w:pPr>
        <w:pStyle w:val="0"/>
        <w:spacing w:before="240" w:lineRule="auto"/>
        <w:ind w:firstLine="540"/>
        <w:jc w:val="both"/>
      </w:pPr>
      <w:r>
        <w:rPr>
          <w:sz w:val="24"/>
        </w:rPr>
        <w:t xml:space="preserve">осуществляют иные действия в соответствии с законодательством Российской Федерации, законодательством Чувашской Республики и настоящим Положением.</w:t>
      </w:r>
    </w:p>
    <w:p>
      <w:pPr>
        <w:pStyle w:val="0"/>
        <w:spacing w:before="240" w:lineRule="auto"/>
        <w:ind w:firstLine="540"/>
        <w:jc w:val="both"/>
      </w:pPr>
      <w:r>
        <w:rPr>
          <w:sz w:val="24"/>
        </w:rPr>
        <w:t xml:space="preserve">3.9. Решение Комиссии о предоставлении субсидии претенденту принимается в соответствии с Правилами предоставления субсидии на основании итоговых баллов. При равенстве итоговых баллов преимущество получает претендент, подавший заявку ранее других.</w:t>
      </w:r>
    </w:p>
    <w:p>
      <w:pPr>
        <w:pStyle w:val="0"/>
        <w:spacing w:before="240" w:lineRule="auto"/>
        <w:ind w:firstLine="540"/>
        <w:jc w:val="both"/>
      </w:pPr>
      <w:r>
        <w:rPr>
          <w:sz w:val="24"/>
        </w:rPr>
        <w:t xml:space="preserve">Члены Комиссии обладают равными правами при принятии решения в рамках их компетенции.</w:t>
      </w:r>
    </w:p>
    <w:p>
      <w:pPr>
        <w:pStyle w:val="0"/>
        <w:spacing w:before="240" w:lineRule="auto"/>
        <w:ind w:firstLine="540"/>
        <w:jc w:val="both"/>
      </w:pPr>
      <w:r>
        <w:rPr>
          <w:sz w:val="24"/>
        </w:rPr>
        <w:t xml:space="preserve">Все члены Комиссии осуществляют свою деятельность на безвозмездной основе, участвуют в ее работе лично.</w:t>
      </w:r>
    </w:p>
    <w:p>
      <w:pPr>
        <w:pStyle w:val="0"/>
        <w:spacing w:before="240" w:lineRule="auto"/>
        <w:ind w:firstLine="540"/>
        <w:jc w:val="both"/>
      </w:pPr>
      <w:r>
        <w:rPr>
          <w:sz w:val="24"/>
        </w:rPr>
        <w:t xml:space="preserve">3.10. Заседание Комиссии проводится не позднее 35 календарных дней со дня окончания приема заявок.</w:t>
      </w:r>
    </w:p>
    <w:p>
      <w:pPr>
        <w:pStyle w:val="0"/>
        <w:spacing w:before="240" w:lineRule="auto"/>
        <w:ind w:firstLine="540"/>
        <w:jc w:val="both"/>
      </w:pPr>
      <w:r>
        <w:rPr>
          <w:sz w:val="24"/>
        </w:rPr>
        <w:t xml:space="preserve">3.11. В течение одного рабочего дня после дня проведения заседания Комиссии формируется протокол подведения итогов конкурсного отбора в соответствии с Правилами предоставлении субсидии.</w:t>
      </w:r>
    </w:p>
    <w:p>
      <w:pPr>
        <w:pStyle w:val="0"/>
        <w:spacing w:before="240" w:lineRule="auto"/>
        <w:ind w:firstLine="540"/>
        <w:jc w:val="both"/>
      </w:pPr>
      <w:r>
        <w:rPr>
          <w:sz w:val="24"/>
        </w:rPr>
        <w:t xml:space="preserve">3.12. Организационно-техническое обеспечение деятельности Комиссии осуществляется Министерством промышленности и энергетики Чувашской Республики.</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19.05.2025 N 284</w:t>
            <w:br/>
            <w:t>(ред. от 10.06.2026)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Кабинета Министров ЧР от 19.05.2025 N 284</w:t>
            <w:br/>
            <w:t>(ред. от 10.06.2026)</w:t>
            <w:br/>
            <w:t>"Об утверждении Правил предоставления субси...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98&amp;n=199652&amp;date=08.07.2026&amp;dst=100005&amp;field=134" TargetMode = "External"/><Relationship Id="rId9" Type="http://schemas.openxmlformats.org/officeDocument/2006/relationships/hyperlink" Target="https://login.consultant.ru/link/?req=doc&amp;base=LAW&amp;n=523214&amp;date=08.07.2026" TargetMode = "External"/><Relationship Id="rId10" Type="http://schemas.openxmlformats.org/officeDocument/2006/relationships/hyperlink" Target="https://login.consultant.ru/link/?req=doc&amp;base=RLAW098&amp;n=199652&amp;date=08.07.2026&amp;dst=100005&amp;field=134" TargetMode = "External"/><Relationship Id="rId11" Type="http://schemas.openxmlformats.org/officeDocument/2006/relationships/hyperlink" Target="https://login.consultant.ru/link/?req=doc&amp;base=LAW&amp;n=538129&amp;date=08.07.2026&amp;dst=119113&amp;field=134" TargetMode = "External"/><Relationship Id="rId12" Type="http://schemas.openxmlformats.org/officeDocument/2006/relationships/hyperlink" Target="https://login.consultant.ru/link/?req=doc&amp;base=LAW&amp;n=538129&amp;date=08.07.2026&amp;dst=120259&amp;field=134" TargetMode = "External"/><Relationship Id="rId13" Type="http://schemas.openxmlformats.org/officeDocument/2006/relationships/hyperlink" Target="https://login.consultant.ru/link/?req=doc&amp;base=LAW&amp;n=538129&amp;date=08.07.2026&amp;dst=121093&amp;field=134" TargetMode = "External"/><Relationship Id="rId14" Type="http://schemas.openxmlformats.org/officeDocument/2006/relationships/hyperlink" Target="https://login.consultant.ru/link/?req=doc&amp;base=RLAW098&amp;n=199652&amp;date=08.07.2026&amp;dst=100007&amp;field=134" TargetMode = "External"/><Relationship Id="rId15" Type="http://schemas.openxmlformats.org/officeDocument/2006/relationships/hyperlink" Target="https://login.consultant.ru/link/?req=doc&amp;base=RLAW098&amp;n=199652&amp;date=08.07.2026&amp;dst=100009&amp;field=134" TargetMode = "External"/><Relationship Id="rId16" Type="http://schemas.openxmlformats.org/officeDocument/2006/relationships/hyperlink" Target="https://login.consultant.ru/link/?req=doc&amp;base=LAW&amp;n=538095&amp;date=08.07.2026&amp;dst=100851&amp;field=134" TargetMode = "External"/><Relationship Id="rId17" Type="http://schemas.openxmlformats.org/officeDocument/2006/relationships/hyperlink" Target="https://login.consultant.ru/link/?req=doc&amp;base=LAW&amp;n=538095&amp;date=08.07.2026&amp;dst=100867&amp;field=134" TargetMode = "External"/><Relationship Id="rId18" Type="http://schemas.openxmlformats.org/officeDocument/2006/relationships/hyperlink" Target="https://login.consultant.ru/link/?req=doc&amp;base=LAW&amp;n=538095&amp;date=08.07.2026&amp;dst=100889&amp;field=134" TargetMode = "External"/><Relationship Id="rId19" Type="http://schemas.openxmlformats.org/officeDocument/2006/relationships/hyperlink" Target="https://login.consultant.ru/link/?req=doc&amp;base=LAW&amp;n=538095&amp;date=08.07.2026&amp;dst=100897&amp;field=134" TargetMode = "External"/><Relationship Id="rId20" Type="http://schemas.openxmlformats.org/officeDocument/2006/relationships/hyperlink" Target="https://login.consultant.ru/link/?req=doc&amp;base=LAW&amp;n=538095&amp;date=08.07.2026&amp;dst=100919&amp;field=134" TargetMode = "External"/><Relationship Id="rId21" Type="http://schemas.openxmlformats.org/officeDocument/2006/relationships/hyperlink" Target="https://login.consultant.ru/link/?req=doc&amp;base=LAW&amp;n=538095&amp;date=08.07.2026&amp;dst=100975&amp;field=134" TargetMode = "External"/><Relationship Id="rId22" Type="http://schemas.openxmlformats.org/officeDocument/2006/relationships/hyperlink" Target="https://login.consultant.ru/link/?req=doc&amp;base=LAW&amp;n=538095&amp;date=08.07.2026&amp;dst=100985&amp;field=134" TargetMode = "External"/><Relationship Id="rId23" Type="http://schemas.openxmlformats.org/officeDocument/2006/relationships/hyperlink" Target="https://login.consultant.ru/link/?req=doc&amp;base=LAW&amp;n=538095&amp;date=08.07.2026&amp;dst=100997&amp;field=134" TargetMode = "External"/><Relationship Id="rId24" Type="http://schemas.openxmlformats.org/officeDocument/2006/relationships/hyperlink" Target="https://login.consultant.ru/link/?req=doc&amp;base=LAW&amp;n=538095&amp;date=08.07.2026&amp;dst=101005&amp;field=134" TargetMode = "External"/><Relationship Id="rId25" Type="http://schemas.openxmlformats.org/officeDocument/2006/relationships/hyperlink" Target="https://login.consultant.ru/link/?req=doc&amp;base=LAW&amp;n=538095&amp;date=08.07.2026&amp;dst=101017&amp;field=134" TargetMode = "External"/><Relationship Id="rId26" Type="http://schemas.openxmlformats.org/officeDocument/2006/relationships/hyperlink" Target="https://login.consultant.ru/link/?req=doc&amp;base=LAW&amp;n=538095&amp;date=08.07.2026&amp;dst=101065&amp;field=134" TargetMode = "External"/><Relationship Id="rId27" Type="http://schemas.openxmlformats.org/officeDocument/2006/relationships/hyperlink" Target="https://login.consultant.ru/link/?req=doc&amp;base=LAW&amp;n=538095&amp;date=08.07.2026&amp;dst=101387&amp;field=134" TargetMode = "External"/><Relationship Id="rId28" Type="http://schemas.openxmlformats.org/officeDocument/2006/relationships/hyperlink" Target="https://login.consultant.ru/link/?req=doc&amp;base=LAW&amp;n=538095&amp;date=08.07.2026&amp;dst=101462&amp;field=134" TargetMode = "External"/><Relationship Id="rId29" Type="http://schemas.openxmlformats.org/officeDocument/2006/relationships/hyperlink" Target="https://login.consultant.ru/link/?req=doc&amp;base=LAW&amp;n=538095&amp;date=08.07.2026&amp;dst=101475&amp;field=134" TargetMode = "External"/><Relationship Id="rId30" Type="http://schemas.openxmlformats.org/officeDocument/2006/relationships/hyperlink" Target="https://login.consultant.ru/link/?req=doc&amp;base=LAW&amp;n=538095&amp;date=08.07.2026&amp;dst=101505&amp;field=134" TargetMode = "External"/><Relationship Id="rId31" Type="http://schemas.openxmlformats.org/officeDocument/2006/relationships/hyperlink" Target="https://login.consultant.ru/link/?req=doc&amp;base=LAW&amp;n=538095&amp;date=08.07.2026&amp;dst=101549&amp;field=134" TargetMode = "External"/><Relationship Id="rId32" Type="http://schemas.openxmlformats.org/officeDocument/2006/relationships/hyperlink" Target="https://login.consultant.ru/link/?req=doc&amp;base=LAW&amp;n=538095&amp;date=08.07.2026&amp;dst=101557&amp;field=134" TargetMode = "External"/><Relationship Id="rId33" Type="http://schemas.openxmlformats.org/officeDocument/2006/relationships/hyperlink" Target="https://login.consultant.ru/link/?req=doc&amp;base=LAW&amp;n=538095&amp;date=08.07.2026&amp;dst=101543&amp;field=134" TargetMode = "External"/><Relationship Id="rId34" Type="http://schemas.openxmlformats.org/officeDocument/2006/relationships/hyperlink" Target="https://login.consultant.ru/link/?req=doc&amp;base=LAW&amp;n=538095&amp;date=08.07.2026&amp;dst=101567&amp;field=134" TargetMode = "External"/><Relationship Id="rId35" Type="http://schemas.openxmlformats.org/officeDocument/2006/relationships/hyperlink" Target="https://login.consultant.ru/link/?req=doc&amp;base=LAW&amp;n=538095&amp;date=08.07.2026&amp;dst=102683&amp;field=134" TargetMode = "External"/><Relationship Id="rId36" Type="http://schemas.openxmlformats.org/officeDocument/2006/relationships/hyperlink" Target="https://login.consultant.ru/link/?req=doc&amp;base=LAW&amp;n=538095&amp;date=08.07.2026&amp;dst=101875&amp;field=134" TargetMode = "External"/><Relationship Id="rId37" Type="http://schemas.openxmlformats.org/officeDocument/2006/relationships/hyperlink" Target="https://login.consultant.ru/link/?req=doc&amp;base=LAW&amp;n=536347&amp;date=08.07.2026" TargetMode = "External"/><Relationship Id="rId38" Type="http://schemas.openxmlformats.org/officeDocument/2006/relationships/hyperlink" Target="https://login.consultant.ru/link/?req=doc&amp;base=RLAW098&amp;n=199274&amp;date=08.07.2026" TargetMode = "External"/><Relationship Id="rId39" Type="http://schemas.openxmlformats.org/officeDocument/2006/relationships/hyperlink" Target="https://login.consultant.ru/link/?req=doc&amp;base=RLAW098&amp;n=199652&amp;date=08.07.2026&amp;dst=100012&amp;field=134" TargetMode = "External"/><Relationship Id="rId40" Type="http://schemas.openxmlformats.org/officeDocument/2006/relationships/hyperlink" Target="https://login.consultant.ru/link/?req=doc&amp;base=RLAW098&amp;n=199695&amp;date=08.07.2026" TargetMode = "External"/><Relationship Id="rId41" Type="http://schemas.openxmlformats.org/officeDocument/2006/relationships/hyperlink" Target="https://login.consultant.ru/link/?req=doc&amp;base=LAW&amp;n=431832&amp;date=08.07.2026&amp;dst=378&amp;field=134" TargetMode = "External"/><Relationship Id="rId42" Type="http://schemas.openxmlformats.org/officeDocument/2006/relationships/hyperlink" Target="https://login.consultant.ru/link/?req=doc&amp;base=RLAW098&amp;n=177920&amp;date=08.07.2026&amp;dst=100009&amp;field=134" TargetMode = "External"/><Relationship Id="rId43" Type="http://schemas.openxmlformats.org/officeDocument/2006/relationships/hyperlink" Target="https://login.consultant.ru/link/?req=doc&amp;base=LAW&amp;n=121087&amp;date=08.07.2026&amp;dst=100142&amp;field=134" TargetMode = "External"/><Relationship Id="rId44" Type="http://schemas.openxmlformats.org/officeDocument/2006/relationships/hyperlink" Target="https://login.consultant.ru/link/?req=doc&amp;base=LAW&amp;n=538072&amp;date=08.07.2026" TargetMode = "External"/><Relationship Id="rId45" Type="http://schemas.openxmlformats.org/officeDocument/2006/relationships/hyperlink" Target="https://login.consultant.ru/link/?req=doc&amp;base=LAW&amp;n=538073&amp;date=08.07.2026&amp;dst=5769&amp;field=134" TargetMode = "External"/><Relationship Id="rId46" Type="http://schemas.openxmlformats.org/officeDocument/2006/relationships/hyperlink" Target="https://login.consultant.ru/link/?req=doc&amp;base=RLAW098&amp;n=199652&amp;date=08.07.2026&amp;dst=100014&amp;field=134" TargetMode = "External"/><Relationship Id="rId47" Type="http://schemas.openxmlformats.org/officeDocument/2006/relationships/hyperlink" Target="https://login.consultant.ru/link/?req=doc&amp;base=RLAW098&amp;n=199652&amp;date=08.07.2026&amp;dst=100017&amp;field=134" TargetMode = "External"/><Relationship Id="rId48" Type="http://schemas.openxmlformats.org/officeDocument/2006/relationships/hyperlink" Target="https://login.consultant.ru/link/?req=doc&amp;base=RLAW098&amp;n=199652&amp;date=08.07.2026&amp;dst=100019&amp;field=134" TargetMode = "External"/><Relationship Id="rId49" Type="http://schemas.openxmlformats.org/officeDocument/2006/relationships/hyperlink" Target="https://login.consultant.ru/link/?req=doc&amp;base=LAW&amp;n=511602&amp;date=08.07.2026" TargetMode = "External"/><Relationship Id="rId50" Type="http://schemas.openxmlformats.org/officeDocument/2006/relationships/hyperlink" Target="https://login.consultant.ru/link/?req=doc&amp;base=RLAW098&amp;n=199652&amp;date=08.07.2026&amp;dst=100023&amp;field=134" TargetMode = "External"/><Relationship Id="rId51" Type="http://schemas.openxmlformats.org/officeDocument/2006/relationships/hyperlink" Target="https://login.consultant.ru/link/?req=doc&amp;base=RLAW098&amp;n=199652&amp;date=08.07.2026&amp;dst=100024&amp;field=134" TargetMode = "External"/><Relationship Id="rId52" Type="http://schemas.openxmlformats.org/officeDocument/2006/relationships/hyperlink" Target="https://login.consultant.ru/link/?req=doc&amp;base=LAW&amp;n=536617&amp;date=08.07.2026&amp;dst=101922&amp;field=134" TargetMode = "External"/><Relationship Id="rId53" Type="http://schemas.openxmlformats.org/officeDocument/2006/relationships/hyperlink" Target="https://login.consultant.ru/link/?req=doc&amp;base=LAW&amp;n=536617&amp;date=08.07.2026&amp;dst=101922&amp;field=134" TargetMode = "External"/><Relationship Id="rId54" Type="http://schemas.openxmlformats.org/officeDocument/2006/relationships/hyperlink" Target="https://login.consultant.ru/link/?req=doc&amp;base=LAW&amp;n=528132&amp;date=08.07.2026&amp;dst=100251&amp;field=134" TargetMode = "External"/><Relationship Id="rId55" Type="http://schemas.openxmlformats.org/officeDocument/2006/relationships/hyperlink" Target="https://login.consultant.ru/link/?req=doc&amp;base=RLAW098&amp;n=199652&amp;date=08.07.2026&amp;dst=100026&amp;field=134" TargetMode = "External"/><Relationship Id="rId56" Type="http://schemas.openxmlformats.org/officeDocument/2006/relationships/hyperlink" Target="https://login.consultant.ru/link/?req=doc&amp;base=RLAW098&amp;n=199652&amp;date=08.07.2026&amp;dst=100027&amp;field=134" TargetMode = "External"/><Relationship Id="rId57" Type="http://schemas.openxmlformats.org/officeDocument/2006/relationships/hyperlink" Target="https://login.consultant.ru/link/?req=doc&amp;base=RLAW098&amp;n=199652&amp;date=08.07.2026&amp;dst=100030&amp;field=134" TargetMode = "External"/><Relationship Id="rId58" Type="http://schemas.openxmlformats.org/officeDocument/2006/relationships/hyperlink" Target="https://login.consultant.ru/link/?req=doc&amp;base=RLAW098&amp;n=199652&amp;date=08.07.2026&amp;dst=100032&amp;field=134" TargetMode = "External"/><Relationship Id="rId59" Type="http://schemas.openxmlformats.org/officeDocument/2006/relationships/hyperlink" Target="https://login.consultant.ru/link/?req=doc&amp;base=LAW&amp;n=511724&amp;date=08.07.2026&amp;dst=3704&amp;field=134" TargetMode = "External"/><Relationship Id="rId60" Type="http://schemas.openxmlformats.org/officeDocument/2006/relationships/hyperlink" Target="https://login.consultant.ru/link/?req=doc&amp;base=LAW&amp;n=511724&amp;date=08.07.2026&amp;dst=3722&amp;field=134" TargetMode = "External"/><Relationship Id="rId61" Type="http://schemas.openxmlformats.org/officeDocument/2006/relationships/hyperlink" Target="https://login.consultant.ru/link/?req=doc&amp;base=RLAW098&amp;n=199652&amp;date=08.07.2026&amp;dst=100033&amp;field=134" TargetMode = "External"/><Relationship Id="rId62" Type="http://schemas.openxmlformats.org/officeDocument/2006/relationships/hyperlink" Target="https://login.consultant.ru/link/?req=doc&amp;base=RLAW098&amp;n=199652&amp;date=08.07.2026&amp;dst=100040&amp;field=134" TargetMode = "External"/><Relationship Id="rId63" Type="http://schemas.openxmlformats.org/officeDocument/2006/relationships/hyperlink" Target="https://login.consultant.ru/link/?req=doc&amp;base=RLAW098&amp;n=199652&amp;date=08.07.2026&amp;dst=100040&amp;field=134" TargetMode = "External"/><Relationship Id="rId64" Type="http://schemas.openxmlformats.org/officeDocument/2006/relationships/hyperlink" Target="https://login.consultant.ru/link/?req=doc&amp;base=RLAW098&amp;n=199652&amp;date=08.07.2026&amp;dst=100040&amp;field=134" TargetMode = "External"/><Relationship Id="rId65" Type="http://schemas.openxmlformats.org/officeDocument/2006/relationships/hyperlink" Target="https://login.consultant.ru/link/?req=doc&amp;base=LAW&amp;n=511724&amp;date=08.07.2026&amp;dst=3704&amp;field=134" TargetMode = "External"/><Relationship Id="rId66" Type="http://schemas.openxmlformats.org/officeDocument/2006/relationships/hyperlink" Target="https://login.consultant.ru/link/?req=doc&amp;base=LAW&amp;n=511724&amp;date=08.07.2026&amp;dst=3722&amp;field=134" TargetMode = "External"/><Relationship Id="rId67" Type="http://schemas.openxmlformats.org/officeDocument/2006/relationships/hyperlink" Target="https://login.consultant.ru/link/?req=doc&amp;base=LAW&amp;n=538095&amp;date=08.07.2026&amp;dst=100851&amp;field=134" TargetMode = "External"/><Relationship Id="rId68" Type="http://schemas.openxmlformats.org/officeDocument/2006/relationships/hyperlink" Target="https://login.consultant.ru/link/?req=doc&amp;base=LAW&amp;n=538095&amp;date=08.07.2026&amp;dst=100867&amp;field=134" TargetMode = "External"/><Relationship Id="rId69" Type="http://schemas.openxmlformats.org/officeDocument/2006/relationships/hyperlink" Target="https://login.consultant.ru/link/?req=doc&amp;base=LAW&amp;n=538095&amp;date=08.07.2026&amp;dst=100889&amp;field=134" TargetMode = "External"/><Relationship Id="rId70" Type="http://schemas.openxmlformats.org/officeDocument/2006/relationships/hyperlink" Target="https://login.consultant.ru/link/?req=doc&amp;base=LAW&amp;n=538095&amp;date=08.07.2026&amp;dst=100897&amp;field=134" TargetMode = "External"/><Relationship Id="rId71" Type="http://schemas.openxmlformats.org/officeDocument/2006/relationships/hyperlink" Target="https://login.consultant.ru/link/?req=doc&amp;base=LAW&amp;n=538095&amp;date=08.07.2026&amp;dst=100919&amp;field=134" TargetMode = "External"/><Relationship Id="rId72" Type="http://schemas.openxmlformats.org/officeDocument/2006/relationships/hyperlink" Target="https://login.consultant.ru/link/?req=doc&amp;base=LAW&amp;n=538095&amp;date=08.07.2026&amp;dst=100975&amp;field=134" TargetMode = "External"/><Relationship Id="rId73" Type="http://schemas.openxmlformats.org/officeDocument/2006/relationships/hyperlink" Target="https://login.consultant.ru/link/?req=doc&amp;base=LAW&amp;n=538095&amp;date=08.07.2026&amp;dst=100985&amp;field=134" TargetMode = "External"/><Relationship Id="rId74" Type="http://schemas.openxmlformats.org/officeDocument/2006/relationships/hyperlink" Target="https://login.consultant.ru/link/?req=doc&amp;base=LAW&amp;n=538095&amp;date=08.07.2026&amp;dst=100997&amp;field=134" TargetMode = "External"/><Relationship Id="rId75" Type="http://schemas.openxmlformats.org/officeDocument/2006/relationships/hyperlink" Target="https://login.consultant.ru/link/?req=doc&amp;base=LAW&amp;n=538095&amp;date=08.07.2026&amp;dst=101005&amp;field=134" TargetMode = "External"/><Relationship Id="rId76" Type="http://schemas.openxmlformats.org/officeDocument/2006/relationships/hyperlink" Target="https://login.consultant.ru/link/?req=doc&amp;base=LAW&amp;n=538095&amp;date=08.07.2026&amp;dst=101017&amp;field=134" TargetMode = "External"/><Relationship Id="rId77" Type="http://schemas.openxmlformats.org/officeDocument/2006/relationships/hyperlink" Target="https://login.consultant.ru/link/?req=doc&amp;base=LAW&amp;n=538095&amp;date=08.07.2026&amp;dst=101065&amp;field=134" TargetMode = "External"/><Relationship Id="rId78" Type="http://schemas.openxmlformats.org/officeDocument/2006/relationships/hyperlink" Target="https://login.consultant.ru/link/?req=doc&amp;base=LAW&amp;n=538095&amp;date=08.07.2026&amp;dst=101387&amp;field=134" TargetMode = "External"/><Relationship Id="rId79" Type="http://schemas.openxmlformats.org/officeDocument/2006/relationships/hyperlink" Target="https://login.consultant.ru/link/?req=doc&amp;base=LAW&amp;n=538095&amp;date=08.07.2026&amp;dst=101462&amp;field=134" TargetMode = "External"/><Relationship Id="rId80" Type="http://schemas.openxmlformats.org/officeDocument/2006/relationships/hyperlink" Target="https://login.consultant.ru/link/?req=doc&amp;base=LAW&amp;n=538095&amp;date=08.07.2026&amp;dst=101475&amp;field=134" TargetMode = "External"/><Relationship Id="rId81" Type="http://schemas.openxmlformats.org/officeDocument/2006/relationships/hyperlink" Target="https://login.consultant.ru/link/?req=doc&amp;base=LAW&amp;n=538095&amp;date=08.07.2026&amp;dst=101505&amp;field=134" TargetMode = "External"/><Relationship Id="rId82" Type="http://schemas.openxmlformats.org/officeDocument/2006/relationships/hyperlink" Target="https://login.consultant.ru/link/?req=doc&amp;base=LAW&amp;n=538095&amp;date=08.07.2026&amp;dst=101549&amp;field=134" TargetMode = "External"/><Relationship Id="rId83" Type="http://schemas.openxmlformats.org/officeDocument/2006/relationships/hyperlink" Target="https://login.consultant.ru/link/?req=doc&amp;base=LAW&amp;n=538095&amp;date=08.07.2026&amp;dst=101557&amp;field=134" TargetMode = "External"/><Relationship Id="rId84" Type="http://schemas.openxmlformats.org/officeDocument/2006/relationships/hyperlink" Target="https://login.consultant.ru/link/?req=doc&amp;base=LAW&amp;n=538095&amp;date=08.07.2026&amp;dst=101543&amp;field=134" TargetMode = "External"/><Relationship Id="rId85" Type="http://schemas.openxmlformats.org/officeDocument/2006/relationships/hyperlink" Target="https://login.consultant.ru/link/?req=doc&amp;base=LAW&amp;n=538095&amp;date=08.07.2026&amp;dst=101567&amp;field=134" TargetMode = "External"/><Relationship Id="rId86" Type="http://schemas.openxmlformats.org/officeDocument/2006/relationships/hyperlink" Target="https://login.consultant.ru/link/?req=doc&amp;base=LAW&amp;n=538095&amp;date=08.07.2026&amp;dst=102683&amp;field=134" TargetMode = "External"/><Relationship Id="rId87" Type="http://schemas.openxmlformats.org/officeDocument/2006/relationships/hyperlink" Target="https://login.consultant.ru/link/?req=doc&amp;base=LAW&amp;n=538095&amp;date=08.07.2026&amp;dst=101875&amp;field=134" TargetMode = "External"/><Relationship Id="rId88" Type="http://schemas.openxmlformats.org/officeDocument/2006/relationships/hyperlink" Target="https://login.consultant.ru/link/?req=doc&amp;base=LAW&amp;n=538073&amp;date=08.07.2026&amp;dst=4081&amp;field=134" TargetMode = "External"/><Relationship Id="rId89" Type="http://schemas.openxmlformats.org/officeDocument/2006/relationships/hyperlink" Target="https://login.consultant.ru/link/?req=doc&amp;base=LAW&amp;n=511724&amp;date=08.07.2026&amp;dst=3704&amp;field=134" TargetMode = "External"/><Relationship Id="rId90" Type="http://schemas.openxmlformats.org/officeDocument/2006/relationships/hyperlink" Target="https://login.consultant.ru/link/?req=doc&amp;base=LAW&amp;n=511724&amp;date=08.07.2026&amp;dst=3722&amp;field=134" TargetMode = "External"/><Relationship Id="rId91" Type="http://schemas.openxmlformats.org/officeDocument/2006/relationships/hyperlink" Target="https://login.consultant.ru/link/?req=doc&amp;base=RLAW098&amp;n=199652&amp;date=08.07.2026&amp;dst=100041&amp;field=134" TargetMode = "External"/><Relationship Id="rId92" Type="http://schemas.openxmlformats.org/officeDocument/2006/relationships/hyperlink" Target="https://login.consultant.ru/link/?req=doc&amp;base=LAW&amp;n=538129&amp;date=08.07.2026" TargetMode = "External"/><Relationship Id="rId93" Type="http://schemas.openxmlformats.org/officeDocument/2006/relationships/hyperlink" Target="https://login.consultant.ru/link/?req=doc&amp;base=LAW&amp;n=538129&amp;date=08.07.2026" TargetMode = "External"/><Relationship Id="rId94" Type="http://schemas.openxmlformats.org/officeDocument/2006/relationships/header" Target="header2.xml"/><Relationship Id="rId95" Type="http://schemas.openxmlformats.org/officeDocument/2006/relationships/footer" Target="footer2.xml"/><Relationship Id="rId96" Type="http://schemas.openxmlformats.org/officeDocument/2006/relationships/hyperlink" Target="https://login.consultant.ru/link/?req=doc&amp;base=LAW&amp;n=538129&amp;date=08.07.2026" TargetMode = "External"/><Relationship Id="rId97" Type="http://schemas.openxmlformats.org/officeDocument/2006/relationships/hyperlink" Target="https://login.consultant.ru/link/?req=doc&amp;base=LAW&amp;n=538129&amp;date=08.07.2026" TargetMode = "External"/><Relationship Id="rId98" Type="http://schemas.openxmlformats.org/officeDocument/2006/relationships/image" Target="media/image2.wmf"/><Relationship Id="rId99" Type="http://schemas.openxmlformats.org/officeDocument/2006/relationships/hyperlink" Target="https://login.consultant.ru/link/?req=doc&amp;base=RLAW098&amp;n=199652&amp;date=08.07.2026&amp;dst=100090&amp;field=134" TargetMode = "External"/><Relationship Id="rId100" Type="http://schemas.openxmlformats.org/officeDocument/2006/relationships/hyperlink" Target="https://login.consultant.ru/link/?req=doc&amp;base=RLAW098&amp;n=199695&amp;date=08.07.2026" TargetMode = "External"/><Relationship Id="rId101" Type="http://schemas.openxmlformats.org/officeDocument/2006/relationships/hyperlink" Target="https://login.consultant.ru/link/?req=doc&amp;base=LAW&amp;n=538095&amp;date=08.07.2026" TargetMode = "External"/><Relationship Id="rId102" Type="http://schemas.openxmlformats.org/officeDocument/2006/relationships/hyperlink" Target="https://login.consultant.ru/link/?req=doc&amp;base=LAW&amp;n=504093&amp;date=08.07.2026" TargetMode = "External"/><Relationship Id="rId103" Type="http://schemas.openxmlformats.org/officeDocument/2006/relationships/hyperlink" Target="https://login.consultant.ru/link/?req=doc&amp;base=RLAW098&amp;n=199652&amp;date=08.07.2026&amp;dst=100145&amp;field=134" TargetMode = "External"/><Relationship Id="rId104" Type="http://schemas.openxmlformats.org/officeDocument/2006/relationships/hyperlink" Target="https://login.consultant.ru/link/?req=doc&amp;base=LAW&amp;n=2875&amp;date=08.07.2026" TargetMode = "External"/><Relationship Id="rId105" Type="http://schemas.openxmlformats.org/officeDocument/2006/relationships/hyperlink" Target="https://login.consultant.ru/link/?req=doc&amp;base=RLAW098&amp;n=177711&amp;date=08.07.2026" TargetMode = "External"/><Relationship Id="rId106" Type="http://schemas.openxmlformats.org/officeDocument/2006/relationships/hyperlink" Target="https://login.consultant.ru/link/?req=doc&amp;base=RLAW098&amp;n=199274&amp;date=08.07.2026&amp;dst=28926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Кабинета Министров ЧР от 19.05.2025 N 284
(ред. от 10.06.2026)
"Об утверждении Правил предоставления субсидий из республиканского бюджета Чувашской Республики юридическим лицам и индивидуальным предпринимателям на возмещение части затрат по приобретению нового технологического оборудования в рамках реализации инвестиционных проектов в рамках реализации индивидуальной программы социально-экономического развития Чувашской Республики и Положения о Комиссии по проведению отбора на предоставление с</dc:title>
  <dcterms:created xsi:type="dcterms:W3CDTF">2026-07-08T08:36:04Z</dcterms:created>
</cp:coreProperties>
</file>